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4D2B" w14:textId="77777777" w:rsidR="00B56A52" w:rsidRPr="002654B5" w:rsidRDefault="00B56A52" w:rsidP="00B56A52">
      <w:pPr>
        <w:pStyle w:val="Title"/>
        <w:rPr>
          <w:lang w:val="en-GB"/>
        </w:rPr>
      </w:pPr>
      <w:bookmarkStart w:id="0" w:name="_GoBack"/>
      <w:bookmarkEnd w:id="0"/>
    </w:p>
    <w:p w14:paraId="485C38D9" w14:textId="77777777" w:rsidR="00B56A52" w:rsidRDefault="00B56A52" w:rsidP="00B56A52">
      <w:pPr>
        <w:pStyle w:val="Title"/>
      </w:pPr>
    </w:p>
    <w:p w14:paraId="14FDA896" w14:textId="77777777" w:rsidR="00B56A52" w:rsidRDefault="00B56A52" w:rsidP="00B56A52">
      <w:pPr>
        <w:pStyle w:val="Title"/>
      </w:pPr>
    </w:p>
    <w:p w14:paraId="62394E78" w14:textId="77777777" w:rsidR="00B56A52" w:rsidRDefault="00B56A52" w:rsidP="00B56A52">
      <w:pPr>
        <w:pStyle w:val="Title"/>
      </w:pPr>
    </w:p>
    <w:p w14:paraId="4B84327A" w14:textId="77777777" w:rsidR="00B56A52" w:rsidRDefault="00B56A52" w:rsidP="00B56A52">
      <w:pPr>
        <w:pStyle w:val="Title"/>
      </w:pPr>
    </w:p>
    <w:p w14:paraId="299146D7" w14:textId="77777777" w:rsidR="00B56A52" w:rsidRDefault="00B56A52" w:rsidP="00B56A52">
      <w:pPr>
        <w:pStyle w:val="Title"/>
      </w:pPr>
    </w:p>
    <w:p w14:paraId="45577BC0" w14:textId="77777777" w:rsidR="00951BD8" w:rsidRPr="00B56A52" w:rsidRDefault="00B56A52" w:rsidP="00B56A52">
      <w:pPr>
        <w:pStyle w:val="Title"/>
      </w:pPr>
      <w:r>
        <w:t xml:space="preserve">Report: </w:t>
      </w:r>
      <w:r w:rsidR="007205F1" w:rsidRPr="00B56A52">
        <w:t>SAO p</w:t>
      </w:r>
      <w:r w:rsidR="00951BD8" w:rsidRPr="00B56A52">
        <w:t xml:space="preserve">lenary </w:t>
      </w:r>
      <w:r w:rsidR="007205F1" w:rsidRPr="00B56A52">
        <w:t>m</w:t>
      </w:r>
      <w:r w:rsidR="00951BD8" w:rsidRPr="00B56A52">
        <w:t>eeting</w:t>
      </w:r>
    </w:p>
    <w:p w14:paraId="48333FD4" w14:textId="77777777" w:rsidR="00951BD8" w:rsidRDefault="00B4789D" w:rsidP="00B56A52">
      <w:pPr>
        <w:pStyle w:val="Heading1"/>
      </w:pPr>
      <w:r>
        <w:t>Levi</w:t>
      </w:r>
      <w:r w:rsidR="00951BD8">
        <w:t xml:space="preserve">, </w:t>
      </w:r>
      <w:r w:rsidR="00BD40A2">
        <w:t>Finland</w:t>
      </w:r>
      <w:r w:rsidR="00B56A52">
        <w:t xml:space="preserve"> | </w:t>
      </w:r>
      <w:r>
        <w:t>22-23 March 2018</w:t>
      </w:r>
    </w:p>
    <w:p w14:paraId="71248200" w14:textId="77777777" w:rsidR="00B56A52" w:rsidRDefault="00B56A52" w:rsidP="00B56A52">
      <w:r>
        <w:rPr>
          <w:i/>
        </w:rPr>
        <w:t>Second SAO plenary meeting during the Finnish Chairmanship</w:t>
      </w:r>
    </w:p>
    <w:p w14:paraId="209C3FF9" w14:textId="77777777" w:rsidR="00B56A52" w:rsidRDefault="00B56A52" w:rsidP="00B56A52"/>
    <w:p w14:paraId="254F049B" w14:textId="77777777" w:rsidR="00B56A52" w:rsidRDefault="00B56A52" w:rsidP="00B56A52">
      <w:r>
        <w:t>Link to meeting documents:</w:t>
      </w:r>
      <w:r>
        <w:br/>
      </w:r>
      <w:hyperlink r:id="rId12" w:history="1">
        <w:r w:rsidRPr="001B47FA">
          <w:rPr>
            <w:rStyle w:val="Hyperlink"/>
          </w:rPr>
          <w:t>https://oaarchive.arctic-council.org/handle/11374/2125</w:t>
        </w:r>
      </w:hyperlink>
    </w:p>
    <w:p w14:paraId="63707D48" w14:textId="77777777" w:rsidR="00B56A52" w:rsidRPr="00B56A52" w:rsidRDefault="00B56A52" w:rsidP="00B56A52"/>
    <w:p w14:paraId="6D831E3A" w14:textId="77777777" w:rsidR="00B56A52" w:rsidRPr="00B56A52" w:rsidRDefault="00B56A52">
      <w:pPr>
        <w:spacing w:after="0"/>
      </w:pPr>
      <w:r w:rsidRPr="00B56A52">
        <w:br w:type="page"/>
      </w:r>
    </w:p>
    <w:p w14:paraId="5A2B8690" w14:textId="77777777" w:rsidR="00951BD8" w:rsidRPr="00B56A52" w:rsidRDefault="00B56A52" w:rsidP="00B56A52">
      <w:pPr>
        <w:pStyle w:val="Heading1"/>
      </w:pPr>
      <w:r w:rsidRPr="00B56A52">
        <w:lastRenderedPageBreak/>
        <w:t>Acronyms and abbreviations commonly found in Arctic Council reports</w:t>
      </w:r>
    </w:p>
    <w:p w14:paraId="52D626F1" w14:textId="77777777" w:rsidR="009C00D0" w:rsidRPr="009C00D0" w:rsidRDefault="009C00D0" w:rsidP="009C00D0">
      <w:pPr>
        <w:spacing w:after="0"/>
        <w:ind w:left="1530" w:hanging="1530"/>
        <w:rPr>
          <w:sz w:val="22"/>
        </w:rPr>
      </w:pPr>
      <w:r w:rsidRPr="009C00D0">
        <w:rPr>
          <w:sz w:val="22"/>
        </w:rPr>
        <w:t>AAC</w:t>
      </w:r>
      <w:r w:rsidRPr="009C00D0">
        <w:rPr>
          <w:sz w:val="22"/>
        </w:rPr>
        <w:tab/>
        <w:t>Arctic Athabaskan Council</w:t>
      </w:r>
    </w:p>
    <w:p w14:paraId="7CA0C337" w14:textId="77777777" w:rsidR="009C00D0" w:rsidRPr="009C00D0" w:rsidRDefault="009C00D0" w:rsidP="009C00D0">
      <w:pPr>
        <w:spacing w:after="0"/>
        <w:ind w:left="1530" w:hanging="1530"/>
        <w:rPr>
          <w:sz w:val="22"/>
        </w:rPr>
      </w:pPr>
      <w:r w:rsidRPr="009C00D0">
        <w:rPr>
          <w:sz w:val="22"/>
        </w:rPr>
        <w:t>AACA</w:t>
      </w:r>
      <w:r w:rsidRPr="009C00D0">
        <w:rPr>
          <w:sz w:val="22"/>
        </w:rPr>
        <w:tab/>
        <w:t>Adaptation Actions for a Changing Arctic (AMAP)</w:t>
      </w:r>
    </w:p>
    <w:p w14:paraId="3E6E02C0" w14:textId="77777777" w:rsidR="009C00D0" w:rsidRPr="009C00D0" w:rsidRDefault="009C00D0" w:rsidP="009C00D0">
      <w:pPr>
        <w:spacing w:after="0"/>
        <w:ind w:left="1530" w:hanging="1530"/>
        <w:rPr>
          <w:sz w:val="22"/>
        </w:rPr>
      </w:pPr>
      <w:r w:rsidRPr="009C00D0">
        <w:rPr>
          <w:sz w:val="22"/>
        </w:rPr>
        <w:t>ABA</w:t>
      </w:r>
      <w:r w:rsidRPr="009C00D0">
        <w:rPr>
          <w:sz w:val="22"/>
        </w:rPr>
        <w:tab/>
        <w:t>Arctic Biodiversity Assessment (CAFF, 2013)</w:t>
      </w:r>
    </w:p>
    <w:p w14:paraId="1D6C5DA3" w14:textId="77777777" w:rsidR="009C00D0" w:rsidRPr="009C00D0" w:rsidRDefault="009C00D0" w:rsidP="009C00D0">
      <w:pPr>
        <w:spacing w:after="0"/>
        <w:ind w:left="1530" w:hanging="1530"/>
        <w:rPr>
          <w:sz w:val="22"/>
        </w:rPr>
      </w:pPr>
      <w:r w:rsidRPr="009C00D0">
        <w:rPr>
          <w:sz w:val="22"/>
        </w:rPr>
        <w:t>ABC</w:t>
      </w:r>
      <w:r w:rsidRPr="009C00D0">
        <w:rPr>
          <w:sz w:val="22"/>
        </w:rPr>
        <w:tab/>
        <w:t>Arctic Biodiversity Congress</w:t>
      </w:r>
    </w:p>
    <w:p w14:paraId="6151008B" w14:textId="77777777" w:rsidR="009C00D0" w:rsidRPr="009C00D0" w:rsidRDefault="009C00D0" w:rsidP="009C00D0">
      <w:pPr>
        <w:spacing w:after="0"/>
        <w:ind w:left="1530" w:hanging="1530"/>
        <w:rPr>
          <w:sz w:val="22"/>
        </w:rPr>
      </w:pPr>
      <w:r w:rsidRPr="009C00D0">
        <w:rPr>
          <w:sz w:val="22"/>
        </w:rPr>
        <w:t>ACAP</w:t>
      </w:r>
      <w:r w:rsidRPr="009C00D0">
        <w:rPr>
          <w:sz w:val="22"/>
        </w:rPr>
        <w:tab/>
        <w:t>Arctic Contaminants Action Program (1 of 6 Working Groups)</w:t>
      </w:r>
    </w:p>
    <w:p w14:paraId="7B8EB586" w14:textId="77777777" w:rsidR="009C00D0" w:rsidRPr="009C00D0" w:rsidRDefault="009C00D0" w:rsidP="009C00D0">
      <w:pPr>
        <w:spacing w:after="0"/>
        <w:ind w:left="1530" w:hanging="1530"/>
        <w:rPr>
          <w:sz w:val="22"/>
        </w:rPr>
      </w:pPr>
      <w:r w:rsidRPr="009C00D0">
        <w:rPr>
          <w:sz w:val="22"/>
        </w:rPr>
        <w:t>ACGF</w:t>
      </w:r>
      <w:r w:rsidRPr="009C00D0">
        <w:rPr>
          <w:sz w:val="22"/>
        </w:rPr>
        <w:tab/>
        <w:t>Arctic Coast Guard Forum</w:t>
      </w:r>
    </w:p>
    <w:p w14:paraId="2CD6DE80" w14:textId="77777777" w:rsidR="009C00D0" w:rsidRPr="009C00D0" w:rsidRDefault="009C00D0" w:rsidP="009C00D0">
      <w:pPr>
        <w:spacing w:after="0"/>
        <w:ind w:left="1530" w:hanging="1530"/>
        <w:rPr>
          <w:sz w:val="22"/>
        </w:rPr>
      </w:pPr>
      <w:r w:rsidRPr="009C00D0">
        <w:rPr>
          <w:sz w:val="22"/>
        </w:rPr>
        <w:t>ACIA</w:t>
      </w:r>
      <w:r w:rsidRPr="009C00D0">
        <w:rPr>
          <w:sz w:val="22"/>
        </w:rPr>
        <w:tab/>
        <w:t>Arctic Climate Impact Assessment (AMAP, 2005)</w:t>
      </w:r>
    </w:p>
    <w:p w14:paraId="4A22A20D" w14:textId="77777777" w:rsidR="009C00D0" w:rsidRPr="009C00D0" w:rsidRDefault="009C00D0" w:rsidP="009C00D0">
      <w:pPr>
        <w:spacing w:after="0"/>
        <w:ind w:left="1530" w:hanging="1530"/>
        <w:rPr>
          <w:sz w:val="22"/>
        </w:rPr>
      </w:pPr>
      <w:r w:rsidRPr="009C00D0">
        <w:rPr>
          <w:sz w:val="22"/>
        </w:rPr>
        <w:t>ACS</w:t>
      </w:r>
      <w:r w:rsidRPr="009C00D0">
        <w:rPr>
          <w:sz w:val="22"/>
        </w:rPr>
        <w:tab/>
        <w:t>Arctic Council Secretariat</w:t>
      </w:r>
    </w:p>
    <w:p w14:paraId="2DAFA67D" w14:textId="77777777" w:rsidR="009C00D0" w:rsidRPr="009C00D0" w:rsidRDefault="009C00D0" w:rsidP="009C00D0">
      <w:pPr>
        <w:spacing w:after="0"/>
        <w:ind w:left="1530" w:hanging="1530"/>
        <w:rPr>
          <w:sz w:val="22"/>
        </w:rPr>
      </w:pPr>
      <w:r w:rsidRPr="009C00D0">
        <w:rPr>
          <w:sz w:val="22"/>
        </w:rPr>
        <w:t>AEC</w:t>
      </w:r>
      <w:r w:rsidRPr="009C00D0">
        <w:rPr>
          <w:sz w:val="22"/>
        </w:rPr>
        <w:tab/>
        <w:t>Arctic Economic Council</w:t>
      </w:r>
    </w:p>
    <w:p w14:paraId="4692D41D" w14:textId="77777777" w:rsidR="009C00D0" w:rsidRPr="009C00D0" w:rsidRDefault="009C00D0" w:rsidP="009C00D0">
      <w:pPr>
        <w:spacing w:after="0"/>
        <w:ind w:left="1530" w:hanging="1530"/>
        <w:rPr>
          <w:sz w:val="22"/>
        </w:rPr>
      </w:pPr>
      <w:r w:rsidRPr="009C00D0">
        <w:rPr>
          <w:sz w:val="22"/>
        </w:rPr>
        <w:t>AEMM</w:t>
      </w:r>
      <w:r w:rsidRPr="009C00D0">
        <w:rPr>
          <w:sz w:val="22"/>
        </w:rPr>
        <w:tab/>
        <w:t>Arctic Environment Ministers’ meeting</w:t>
      </w:r>
    </w:p>
    <w:p w14:paraId="09E03A0D" w14:textId="77777777" w:rsidR="009C00D0" w:rsidRPr="009C00D0" w:rsidRDefault="009C00D0" w:rsidP="009C00D0">
      <w:pPr>
        <w:spacing w:after="0"/>
        <w:ind w:left="1530" w:hanging="1530"/>
        <w:rPr>
          <w:sz w:val="22"/>
        </w:rPr>
      </w:pPr>
      <w:r w:rsidRPr="009C00D0">
        <w:rPr>
          <w:sz w:val="22"/>
        </w:rPr>
        <w:t>AIA</w:t>
      </w:r>
      <w:r w:rsidRPr="009C00D0">
        <w:rPr>
          <w:sz w:val="22"/>
        </w:rPr>
        <w:tab/>
        <w:t>Aleut International Association</w:t>
      </w:r>
    </w:p>
    <w:p w14:paraId="7A1FAC35" w14:textId="77777777" w:rsidR="009C00D0" w:rsidRPr="009C00D0" w:rsidRDefault="009C00D0" w:rsidP="009C00D0">
      <w:pPr>
        <w:spacing w:after="0"/>
        <w:ind w:left="1530" w:hanging="1530"/>
        <w:rPr>
          <w:sz w:val="22"/>
        </w:rPr>
      </w:pPr>
      <w:r w:rsidRPr="009C00D0">
        <w:rPr>
          <w:sz w:val="22"/>
        </w:rPr>
        <w:t>AMAP</w:t>
      </w:r>
      <w:r w:rsidRPr="009C00D0">
        <w:rPr>
          <w:sz w:val="22"/>
        </w:rPr>
        <w:tab/>
        <w:t>Arctic Monitoring and Assessment Programme (1 of 6 Working Groups)</w:t>
      </w:r>
    </w:p>
    <w:p w14:paraId="2C1E62E5" w14:textId="77777777" w:rsidR="009C00D0" w:rsidRPr="009C00D0" w:rsidRDefault="009C00D0" w:rsidP="009C00D0">
      <w:pPr>
        <w:spacing w:after="0"/>
        <w:ind w:left="1530" w:hanging="1530"/>
        <w:rPr>
          <w:sz w:val="22"/>
        </w:rPr>
      </w:pPr>
      <w:r w:rsidRPr="009C00D0">
        <w:rPr>
          <w:sz w:val="22"/>
        </w:rPr>
        <w:t>AMATII</w:t>
      </w:r>
      <w:r w:rsidRPr="009C00D0">
        <w:rPr>
          <w:sz w:val="22"/>
        </w:rPr>
        <w:tab/>
        <w:t>Arctic Maritime and Aviation Transportation Infrastructure Initiative (SDWG)</w:t>
      </w:r>
    </w:p>
    <w:p w14:paraId="24C4A590" w14:textId="77777777" w:rsidR="009C00D0" w:rsidRPr="009C00D0" w:rsidRDefault="009C00D0" w:rsidP="009C00D0">
      <w:pPr>
        <w:spacing w:after="0"/>
        <w:ind w:left="1530" w:hanging="1530"/>
        <w:rPr>
          <w:sz w:val="22"/>
        </w:rPr>
      </w:pPr>
      <w:r w:rsidRPr="009C00D0">
        <w:rPr>
          <w:sz w:val="22"/>
        </w:rPr>
        <w:t>AMBI</w:t>
      </w:r>
      <w:r w:rsidRPr="009C00D0">
        <w:rPr>
          <w:sz w:val="22"/>
        </w:rPr>
        <w:tab/>
        <w:t>Arctic Migratory Bird Initiative (CAFF initiative)</w:t>
      </w:r>
    </w:p>
    <w:p w14:paraId="27104BE6" w14:textId="77777777" w:rsidR="009C00D0" w:rsidRPr="009C00D0" w:rsidRDefault="009C00D0" w:rsidP="009C00D0">
      <w:pPr>
        <w:spacing w:after="0"/>
        <w:ind w:left="1530" w:hanging="1530"/>
        <w:rPr>
          <w:sz w:val="22"/>
        </w:rPr>
      </w:pPr>
      <w:r w:rsidRPr="009C00D0">
        <w:rPr>
          <w:sz w:val="22"/>
        </w:rPr>
        <w:t>AMSA</w:t>
      </w:r>
      <w:r w:rsidRPr="009C00D0">
        <w:rPr>
          <w:sz w:val="22"/>
        </w:rPr>
        <w:tab/>
        <w:t>Arctic Marine Shipping Assessment (PAME, 2009)</w:t>
      </w:r>
    </w:p>
    <w:p w14:paraId="373C6E14" w14:textId="77777777" w:rsidR="009C00D0" w:rsidRPr="009C00D0" w:rsidRDefault="009C00D0" w:rsidP="009C00D0">
      <w:pPr>
        <w:spacing w:after="0"/>
        <w:ind w:left="1530" w:hanging="1530"/>
        <w:rPr>
          <w:sz w:val="22"/>
        </w:rPr>
      </w:pPr>
      <w:r w:rsidRPr="009C00D0">
        <w:rPr>
          <w:sz w:val="22"/>
        </w:rPr>
        <w:t>AMSP</w:t>
      </w:r>
      <w:r w:rsidRPr="009C00D0">
        <w:rPr>
          <w:sz w:val="22"/>
        </w:rPr>
        <w:tab/>
        <w:t>Arctic Marine Strategic Plan 2015-2025 (PAME, 2015)</w:t>
      </w:r>
    </w:p>
    <w:p w14:paraId="2457BF99" w14:textId="77777777" w:rsidR="009C00D0" w:rsidRPr="009C00D0" w:rsidRDefault="009C00D0" w:rsidP="009C00D0">
      <w:pPr>
        <w:spacing w:after="0"/>
        <w:ind w:left="1530" w:hanging="1530"/>
        <w:rPr>
          <w:sz w:val="22"/>
        </w:rPr>
      </w:pPr>
      <w:r w:rsidRPr="009C00D0">
        <w:rPr>
          <w:sz w:val="22"/>
        </w:rPr>
        <w:t>AOA</w:t>
      </w:r>
      <w:r w:rsidRPr="009C00D0">
        <w:rPr>
          <w:sz w:val="22"/>
        </w:rPr>
        <w:tab/>
        <w:t>Arctic Ocean acidification</w:t>
      </w:r>
    </w:p>
    <w:p w14:paraId="555E0B40" w14:textId="77777777" w:rsidR="009C00D0" w:rsidRPr="009C00D0" w:rsidRDefault="009C00D0" w:rsidP="009C00D0">
      <w:pPr>
        <w:spacing w:after="0"/>
        <w:ind w:left="1530" w:hanging="1530"/>
        <w:rPr>
          <w:sz w:val="22"/>
        </w:rPr>
      </w:pPr>
      <w:r w:rsidRPr="009C00D0">
        <w:rPr>
          <w:sz w:val="22"/>
        </w:rPr>
        <w:t>AORF</w:t>
      </w:r>
      <w:r w:rsidRPr="009C00D0">
        <w:rPr>
          <w:sz w:val="22"/>
        </w:rPr>
        <w:tab/>
        <w:t>Arctic Offshore Regulators’ Forum</w:t>
      </w:r>
    </w:p>
    <w:p w14:paraId="13E278B5" w14:textId="77777777" w:rsidR="009C00D0" w:rsidRPr="009C00D0" w:rsidRDefault="009C00D0" w:rsidP="009C00D0">
      <w:pPr>
        <w:spacing w:after="0"/>
        <w:ind w:left="1530" w:hanging="1530"/>
        <w:rPr>
          <w:sz w:val="22"/>
        </w:rPr>
      </w:pPr>
      <w:r w:rsidRPr="009C00D0">
        <w:rPr>
          <w:sz w:val="22"/>
        </w:rPr>
        <w:t>ARA</w:t>
      </w:r>
      <w:r w:rsidRPr="009C00D0">
        <w:rPr>
          <w:sz w:val="22"/>
        </w:rPr>
        <w:tab/>
        <w:t>Arctic Resilience Assessment</w:t>
      </w:r>
    </w:p>
    <w:p w14:paraId="723D8527" w14:textId="77777777" w:rsidR="009C00D0" w:rsidRPr="009C00D0" w:rsidRDefault="009C00D0" w:rsidP="009C00D0">
      <w:pPr>
        <w:spacing w:after="0"/>
        <w:ind w:left="1530" w:hanging="1530"/>
        <w:rPr>
          <w:sz w:val="22"/>
        </w:rPr>
      </w:pPr>
      <w:r w:rsidRPr="009C00D0">
        <w:rPr>
          <w:sz w:val="22"/>
        </w:rPr>
        <w:t>ARAF</w:t>
      </w:r>
      <w:r w:rsidRPr="009C00D0">
        <w:rPr>
          <w:sz w:val="22"/>
        </w:rPr>
        <w:tab/>
        <w:t>Arctic Resilience Action Framework</w:t>
      </w:r>
    </w:p>
    <w:p w14:paraId="3D2A1B5C" w14:textId="77777777" w:rsidR="009C00D0" w:rsidRPr="009C00D0" w:rsidRDefault="009C00D0" w:rsidP="009C00D0">
      <w:pPr>
        <w:spacing w:after="0"/>
        <w:ind w:left="1530" w:hanging="1530"/>
        <w:rPr>
          <w:sz w:val="22"/>
        </w:rPr>
      </w:pPr>
      <w:r w:rsidRPr="009C00D0">
        <w:rPr>
          <w:sz w:val="22"/>
        </w:rPr>
        <w:t>ARF</w:t>
      </w:r>
      <w:r w:rsidRPr="009C00D0">
        <w:rPr>
          <w:sz w:val="22"/>
        </w:rPr>
        <w:tab/>
        <w:t>Arctic Resilience Forum</w:t>
      </w:r>
    </w:p>
    <w:p w14:paraId="13686B5F" w14:textId="77777777" w:rsidR="009C00D0" w:rsidRPr="009C00D0" w:rsidRDefault="009C00D0" w:rsidP="009C00D0">
      <w:pPr>
        <w:spacing w:after="0"/>
        <w:ind w:left="1530" w:hanging="1530"/>
        <w:rPr>
          <w:sz w:val="22"/>
        </w:rPr>
      </w:pPr>
      <w:r w:rsidRPr="009C00D0">
        <w:rPr>
          <w:sz w:val="22"/>
        </w:rPr>
        <w:t>ARIAS</w:t>
      </w:r>
      <w:r w:rsidRPr="009C00D0">
        <w:rPr>
          <w:sz w:val="22"/>
        </w:rPr>
        <w:tab/>
        <w:t>Arctic Invasive Alien Species project (CAFF initiative)</w:t>
      </w:r>
    </w:p>
    <w:p w14:paraId="27EBD1E9" w14:textId="77777777" w:rsidR="009C00D0" w:rsidRPr="009C00D0" w:rsidRDefault="009C00D0" w:rsidP="009C00D0">
      <w:pPr>
        <w:spacing w:after="0"/>
        <w:ind w:left="1530" w:hanging="1530"/>
        <w:rPr>
          <w:sz w:val="22"/>
        </w:rPr>
      </w:pPr>
      <w:r w:rsidRPr="009C00D0">
        <w:rPr>
          <w:sz w:val="22"/>
        </w:rPr>
        <w:t>ARR</w:t>
      </w:r>
      <w:r w:rsidRPr="009C00D0">
        <w:rPr>
          <w:sz w:val="22"/>
        </w:rPr>
        <w:tab/>
        <w:t>Arctic Resilience Report</w:t>
      </w:r>
    </w:p>
    <w:p w14:paraId="1CE0AC8A" w14:textId="77777777" w:rsidR="009C00D0" w:rsidRPr="009C00D0" w:rsidRDefault="009C00D0" w:rsidP="009C00D0">
      <w:pPr>
        <w:spacing w:after="0"/>
        <w:ind w:left="1530" w:hanging="1530"/>
        <w:rPr>
          <w:sz w:val="22"/>
        </w:rPr>
      </w:pPr>
      <w:r w:rsidRPr="009C00D0">
        <w:rPr>
          <w:sz w:val="22"/>
        </w:rPr>
        <w:t>ASTD</w:t>
      </w:r>
      <w:r w:rsidRPr="009C00D0">
        <w:rPr>
          <w:sz w:val="22"/>
        </w:rPr>
        <w:tab/>
        <w:t>Arctic Ship Traffic Data project (PAME initiative)</w:t>
      </w:r>
    </w:p>
    <w:p w14:paraId="7247FC40" w14:textId="77777777" w:rsidR="009C00D0" w:rsidRPr="009C00D0" w:rsidRDefault="009C00D0" w:rsidP="009C00D0">
      <w:pPr>
        <w:spacing w:after="0"/>
        <w:ind w:left="1530" w:hanging="1530"/>
        <w:rPr>
          <w:sz w:val="22"/>
        </w:rPr>
      </w:pPr>
      <w:r w:rsidRPr="009C00D0">
        <w:rPr>
          <w:sz w:val="22"/>
        </w:rPr>
        <w:t>BCM</w:t>
      </w:r>
      <w:r w:rsidRPr="009C00D0">
        <w:rPr>
          <w:sz w:val="22"/>
        </w:rPr>
        <w:tab/>
        <w:t>Black carbon and methane</w:t>
      </w:r>
    </w:p>
    <w:p w14:paraId="4EA52673" w14:textId="77777777" w:rsidR="009C00D0" w:rsidRPr="009C00D0" w:rsidRDefault="009C00D0" w:rsidP="009C00D0">
      <w:pPr>
        <w:spacing w:after="0"/>
        <w:ind w:left="1530" w:hanging="1530"/>
        <w:rPr>
          <w:sz w:val="22"/>
        </w:rPr>
      </w:pPr>
      <w:r w:rsidRPr="009C00D0">
        <w:rPr>
          <w:sz w:val="22"/>
        </w:rPr>
        <w:t>CAFF</w:t>
      </w:r>
      <w:r w:rsidRPr="009C00D0">
        <w:rPr>
          <w:sz w:val="22"/>
        </w:rPr>
        <w:tab/>
        <w:t>Conservation of Arctic Flora and Fauna (1 of 6 Working Groups)</w:t>
      </w:r>
    </w:p>
    <w:p w14:paraId="30C0E5B7" w14:textId="77777777" w:rsidR="009C00D0" w:rsidRPr="009C00D0" w:rsidRDefault="009C00D0" w:rsidP="009C00D0">
      <w:pPr>
        <w:spacing w:after="0"/>
        <w:ind w:left="1530" w:hanging="1530"/>
        <w:rPr>
          <w:sz w:val="22"/>
        </w:rPr>
      </w:pPr>
      <w:r w:rsidRPr="009C00D0">
        <w:rPr>
          <w:sz w:val="22"/>
        </w:rPr>
        <w:t>CBMP</w:t>
      </w:r>
      <w:r w:rsidRPr="009C00D0">
        <w:rPr>
          <w:sz w:val="22"/>
        </w:rPr>
        <w:tab/>
        <w:t>Circumpolar Biodiversity Monitoring Program (CAFF initiative)</w:t>
      </w:r>
    </w:p>
    <w:p w14:paraId="73397272" w14:textId="77777777" w:rsidR="009C00D0" w:rsidRPr="009C00D0" w:rsidRDefault="009C00D0" w:rsidP="009C00D0">
      <w:pPr>
        <w:spacing w:after="0"/>
        <w:ind w:left="1530" w:hanging="1530"/>
        <w:rPr>
          <w:sz w:val="22"/>
        </w:rPr>
      </w:pPr>
      <w:r w:rsidRPr="009C00D0">
        <w:rPr>
          <w:sz w:val="22"/>
        </w:rPr>
        <w:t>CCAC</w:t>
      </w:r>
      <w:r w:rsidRPr="009C00D0">
        <w:rPr>
          <w:sz w:val="22"/>
        </w:rPr>
        <w:tab/>
        <w:t>Climate and Clean Air Coalition</w:t>
      </w:r>
    </w:p>
    <w:p w14:paraId="7DE87EDD" w14:textId="77777777" w:rsidR="009C00D0" w:rsidRPr="009C00D0" w:rsidRDefault="009C00D0" w:rsidP="009C00D0">
      <w:pPr>
        <w:spacing w:after="0"/>
        <w:ind w:left="1530" w:hanging="1530"/>
        <w:rPr>
          <w:sz w:val="22"/>
        </w:rPr>
      </w:pPr>
      <w:r w:rsidRPr="009C00D0">
        <w:rPr>
          <w:sz w:val="22"/>
        </w:rPr>
        <w:t>CLEO</w:t>
      </w:r>
      <w:r w:rsidRPr="009C00D0">
        <w:rPr>
          <w:sz w:val="22"/>
        </w:rPr>
        <w:tab/>
        <w:t>Circumpolar Local Environmental Observers [network] (ACAP initiative)</w:t>
      </w:r>
    </w:p>
    <w:p w14:paraId="5B57E370" w14:textId="77777777" w:rsidR="009C00D0" w:rsidRPr="009C00D0" w:rsidRDefault="009C00D0" w:rsidP="009C00D0">
      <w:pPr>
        <w:spacing w:after="0"/>
        <w:ind w:left="1530" w:hanging="1530"/>
        <w:rPr>
          <w:sz w:val="22"/>
        </w:rPr>
      </w:pPr>
      <w:r w:rsidRPr="009C00D0">
        <w:rPr>
          <w:sz w:val="22"/>
        </w:rPr>
        <w:t>EA</w:t>
      </w:r>
      <w:r w:rsidRPr="009C00D0">
        <w:rPr>
          <w:sz w:val="22"/>
        </w:rPr>
        <w:tab/>
        <w:t>Ecosystem Approach [to Management]</w:t>
      </w:r>
    </w:p>
    <w:p w14:paraId="55BD22F7" w14:textId="77777777" w:rsidR="009C00D0" w:rsidRPr="009C00D0" w:rsidRDefault="009C00D0" w:rsidP="009C00D0">
      <w:pPr>
        <w:spacing w:after="0"/>
        <w:ind w:left="1530" w:hanging="1530"/>
        <w:rPr>
          <w:sz w:val="22"/>
        </w:rPr>
      </w:pPr>
      <w:r w:rsidRPr="009C00D0">
        <w:rPr>
          <w:sz w:val="22"/>
        </w:rPr>
        <w:t>EG / EGs</w:t>
      </w:r>
      <w:r w:rsidRPr="009C00D0">
        <w:rPr>
          <w:sz w:val="22"/>
        </w:rPr>
        <w:tab/>
        <w:t>Expert Group(s)</w:t>
      </w:r>
    </w:p>
    <w:p w14:paraId="53F3516B" w14:textId="77777777" w:rsidR="009C00D0" w:rsidRPr="009C00D0" w:rsidRDefault="009C00D0" w:rsidP="009C00D0">
      <w:pPr>
        <w:spacing w:after="0"/>
        <w:ind w:left="1530" w:hanging="1530"/>
        <w:rPr>
          <w:sz w:val="22"/>
        </w:rPr>
      </w:pPr>
      <w:r w:rsidRPr="009C00D0">
        <w:rPr>
          <w:sz w:val="22"/>
        </w:rPr>
        <w:t>EGBCM</w:t>
      </w:r>
      <w:r w:rsidRPr="009C00D0">
        <w:rPr>
          <w:sz w:val="22"/>
        </w:rPr>
        <w:tab/>
        <w:t>Expert Group in support of Implementation of the Framework for Action on Black Carbon and Methane</w:t>
      </w:r>
    </w:p>
    <w:p w14:paraId="38876118" w14:textId="77777777" w:rsidR="009C00D0" w:rsidRPr="009C00D0" w:rsidRDefault="009C00D0" w:rsidP="009C00D0">
      <w:pPr>
        <w:spacing w:after="0"/>
        <w:ind w:left="1530" w:hanging="1530"/>
        <w:rPr>
          <w:sz w:val="22"/>
        </w:rPr>
      </w:pPr>
      <w:r w:rsidRPr="009C00D0">
        <w:rPr>
          <w:sz w:val="22"/>
        </w:rPr>
        <w:t>EPPR</w:t>
      </w:r>
      <w:r w:rsidRPr="009C00D0">
        <w:rPr>
          <w:sz w:val="22"/>
        </w:rPr>
        <w:tab/>
        <w:t>Emergency Prevention, Preparedness and Response (1 of 6 Working Groups)</w:t>
      </w:r>
    </w:p>
    <w:p w14:paraId="3CA4ACC9" w14:textId="77777777" w:rsidR="009C00D0" w:rsidRPr="002654B5" w:rsidRDefault="009C00D0" w:rsidP="009C00D0">
      <w:pPr>
        <w:spacing w:after="0"/>
        <w:ind w:left="1530" w:hanging="1530"/>
        <w:rPr>
          <w:sz w:val="22"/>
          <w:lang w:val="fr-CA"/>
        </w:rPr>
      </w:pPr>
      <w:r w:rsidRPr="002654B5">
        <w:rPr>
          <w:sz w:val="22"/>
          <w:lang w:val="fr-CA"/>
        </w:rPr>
        <w:t>ERMA</w:t>
      </w:r>
      <w:r w:rsidRPr="002654B5">
        <w:rPr>
          <w:sz w:val="22"/>
          <w:lang w:val="fr-CA"/>
        </w:rPr>
        <w:tab/>
        <w:t>Environmental Response Management Application (EPPR initiative)</w:t>
      </w:r>
    </w:p>
    <w:p w14:paraId="14857769" w14:textId="77777777" w:rsidR="009C00D0" w:rsidRPr="009C00D0" w:rsidRDefault="009C00D0" w:rsidP="009C00D0">
      <w:pPr>
        <w:spacing w:after="0"/>
        <w:ind w:left="1530" w:hanging="1530"/>
        <w:rPr>
          <w:sz w:val="22"/>
        </w:rPr>
      </w:pPr>
      <w:r w:rsidRPr="009C00D0">
        <w:rPr>
          <w:sz w:val="22"/>
        </w:rPr>
        <w:t>GCI</w:t>
      </w:r>
      <w:r w:rsidR="00CD517C">
        <w:rPr>
          <w:sz w:val="22"/>
        </w:rPr>
        <w:tab/>
        <w:t>Gwich’i</w:t>
      </w:r>
      <w:r w:rsidRPr="009C00D0">
        <w:rPr>
          <w:sz w:val="22"/>
        </w:rPr>
        <w:t>n Council International</w:t>
      </w:r>
    </w:p>
    <w:p w14:paraId="5F42A932" w14:textId="77777777" w:rsidR="009C00D0" w:rsidRPr="009C00D0" w:rsidRDefault="009C00D0" w:rsidP="009C00D0">
      <w:pPr>
        <w:spacing w:after="0"/>
        <w:ind w:left="1530" w:hanging="1530"/>
        <w:rPr>
          <w:sz w:val="22"/>
        </w:rPr>
      </w:pPr>
      <w:r w:rsidRPr="009C00D0">
        <w:rPr>
          <w:sz w:val="22"/>
        </w:rPr>
        <w:t>HFO</w:t>
      </w:r>
      <w:r w:rsidRPr="009C00D0">
        <w:rPr>
          <w:sz w:val="22"/>
        </w:rPr>
        <w:tab/>
        <w:t>Heavy Fuel Oil</w:t>
      </w:r>
    </w:p>
    <w:p w14:paraId="1B61C9E5" w14:textId="77777777" w:rsidR="009C00D0" w:rsidRPr="009C00D0" w:rsidRDefault="009C00D0" w:rsidP="009C00D0">
      <w:pPr>
        <w:spacing w:after="0"/>
        <w:ind w:left="1530" w:hanging="1530"/>
        <w:rPr>
          <w:sz w:val="22"/>
        </w:rPr>
      </w:pPr>
      <w:r w:rsidRPr="009C00D0">
        <w:rPr>
          <w:sz w:val="22"/>
        </w:rPr>
        <w:t>HLPF-SD</w:t>
      </w:r>
      <w:r w:rsidRPr="009C00D0">
        <w:rPr>
          <w:sz w:val="22"/>
        </w:rPr>
        <w:tab/>
        <w:t>UN High-Level Political Forum on Sustainable Development</w:t>
      </w:r>
    </w:p>
    <w:p w14:paraId="118B0ACB" w14:textId="77777777" w:rsidR="009C00D0" w:rsidRPr="009C00D0" w:rsidRDefault="009C00D0" w:rsidP="009C00D0">
      <w:pPr>
        <w:spacing w:after="0"/>
        <w:ind w:left="1530" w:hanging="1530"/>
        <w:rPr>
          <w:sz w:val="22"/>
        </w:rPr>
      </w:pPr>
      <w:r w:rsidRPr="009C00D0">
        <w:rPr>
          <w:sz w:val="22"/>
        </w:rPr>
        <w:t>ICC</w:t>
      </w:r>
      <w:r w:rsidRPr="009C00D0">
        <w:rPr>
          <w:sz w:val="22"/>
        </w:rPr>
        <w:tab/>
        <w:t>Inuit Circumpolar Council</w:t>
      </w:r>
    </w:p>
    <w:p w14:paraId="1E29D4DB" w14:textId="77777777" w:rsidR="009C00D0" w:rsidRPr="009C00D0" w:rsidRDefault="009C00D0" w:rsidP="009C00D0">
      <w:pPr>
        <w:spacing w:after="0"/>
        <w:ind w:left="1530" w:hanging="1530"/>
        <w:rPr>
          <w:sz w:val="22"/>
        </w:rPr>
      </w:pPr>
      <w:r w:rsidRPr="009C00D0">
        <w:rPr>
          <w:sz w:val="22"/>
        </w:rPr>
        <w:t>IK</w:t>
      </w:r>
      <w:r w:rsidRPr="009C00D0">
        <w:rPr>
          <w:sz w:val="22"/>
        </w:rPr>
        <w:tab/>
        <w:t>Indigenous knowledge</w:t>
      </w:r>
    </w:p>
    <w:p w14:paraId="45D7977F" w14:textId="77777777" w:rsidR="009C00D0" w:rsidRPr="009C00D0" w:rsidRDefault="009C00D0" w:rsidP="009C00D0">
      <w:pPr>
        <w:spacing w:after="0"/>
        <w:ind w:left="1530" w:hanging="1530"/>
        <w:rPr>
          <w:sz w:val="22"/>
        </w:rPr>
      </w:pPr>
      <w:r w:rsidRPr="009C00D0">
        <w:rPr>
          <w:sz w:val="22"/>
        </w:rPr>
        <w:t>IMO</w:t>
      </w:r>
      <w:r w:rsidRPr="009C00D0">
        <w:rPr>
          <w:sz w:val="22"/>
        </w:rPr>
        <w:tab/>
        <w:t>International Maritime Organization</w:t>
      </w:r>
    </w:p>
    <w:p w14:paraId="7ADBB6FA" w14:textId="77777777" w:rsidR="009C00D0" w:rsidRPr="009C00D0" w:rsidRDefault="009C00D0" w:rsidP="009C00D0">
      <w:pPr>
        <w:spacing w:after="0"/>
        <w:ind w:left="1530" w:hanging="1530"/>
        <w:rPr>
          <w:sz w:val="22"/>
        </w:rPr>
      </w:pPr>
      <w:r w:rsidRPr="009C00D0">
        <w:rPr>
          <w:sz w:val="22"/>
        </w:rPr>
        <w:lastRenderedPageBreak/>
        <w:t>ITU</w:t>
      </w:r>
      <w:r w:rsidRPr="009C00D0">
        <w:rPr>
          <w:sz w:val="22"/>
        </w:rPr>
        <w:tab/>
        <w:t>International Telecommunications Union</w:t>
      </w:r>
    </w:p>
    <w:p w14:paraId="5A079ED6" w14:textId="77777777" w:rsidR="009C00D0" w:rsidRPr="009C00D0" w:rsidRDefault="009C00D0" w:rsidP="009C00D0">
      <w:pPr>
        <w:spacing w:after="0"/>
        <w:ind w:left="1530" w:hanging="1530"/>
        <w:rPr>
          <w:sz w:val="22"/>
        </w:rPr>
      </w:pPr>
      <w:r w:rsidRPr="009C00D0">
        <w:rPr>
          <w:sz w:val="22"/>
        </w:rPr>
        <w:t>IPCAP</w:t>
      </w:r>
      <w:r w:rsidRPr="009C00D0">
        <w:rPr>
          <w:sz w:val="22"/>
        </w:rPr>
        <w:tab/>
        <w:t>Indigenous Peoples Contaminants Action Program (ACAP Expert Group)</w:t>
      </w:r>
    </w:p>
    <w:p w14:paraId="7165680F" w14:textId="77777777" w:rsidR="009C00D0" w:rsidRPr="009C00D0" w:rsidRDefault="009C00D0" w:rsidP="009C00D0">
      <w:pPr>
        <w:spacing w:after="0"/>
        <w:ind w:left="1530" w:hanging="1530"/>
        <w:rPr>
          <w:sz w:val="22"/>
        </w:rPr>
      </w:pPr>
      <w:r w:rsidRPr="009C00D0">
        <w:rPr>
          <w:sz w:val="22"/>
        </w:rPr>
        <w:t>IPCC</w:t>
      </w:r>
      <w:r w:rsidRPr="009C00D0">
        <w:rPr>
          <w:sz w:val="22"/>
        </w:rPr>
        <w:tab/>
        <w:t>Intergovernmental Panel on Climate Change</w:t>
      </w:r>
    </w:p>
    <w:p w14:paraId="5A55EC00" w14:textId="77777777" w:rsidR="009C00D0" w:rsidRPr="009C00D0" w:rsidRDefault="009C00D0" w:rsidP="009C00D0">
      <w:pPr>
        <w:spacing w:after="0"/>
        <w:ind w:left="1530" w:hanging="1530"/>
        <w:rPr>
          <w:sz w:val="22"/>
        </w:rPr>
      </w:pPr>
      <w:r w:rsidRPr="009C00D0">
        <w:rPr>
          <w:sz w:val="22"/>
        </w:rPr>
        <w:t>IPS</w:t>
      </w:r>
      <w:r w:rsidRPr="009C00D0">
        <w:rPr>
          <w:sz w:val="22"/>
        </w:rPr>
        <w:tab/>
        <w:t>Indigenous Peoples’ Secretariat</w:t>
      </w:r>
    </w:p>
    <w:p w14:paraId="2D4BB336" w14:textId="77777777" w:rsidR="009C00D0" w:rsidRPr="009C00D0" w:rsidRDefault="009C00D0" w:rsidP="009C00D0">
      <w:pPr>
        <w:spacing w:after="0"/>
        <w:ind w:left="1530" w:hanging="1530"/>
        <w:rPr>
          <w:sz w:val="22"/>
        </w:rPr>
      </w:pPr>
      <w:r w:rsidRPr="009C00D0">
        <w:rPr>
          <w:sz w:val="22"/>
        </w:rPr>
        <w:t>LRTAP</w:t>
      </w:r>
      <w:r w:rsidRPr="009C00D0">
        <w:rPr>
          <w:sz w:val="22"/>
        </w:rPr>
        <w:tab/>
        <w:t>UNECE Convention on Long-Range Transboundary Air Pollution</w:t>
      </w:r>
    </w:p>
    <w:p w14:paraId="4C26F815" w14:textId="77777777" w:rsidR="009C00D0" w:rsidRPr="009C00D0" w:rsidRDefault="009C00D0" w:rsidP="009C00D0">
      <w:pPr>
        <w:spacing w:after="0"/>
        <w:ind w:left="1530" w:hanging="1530"/>
        <w:rPr>
          <w:sz w:val="22"/>
        </w:rPr>
      </w:pPr>
      <w:r w:rsidRPr="009C00D0">
        <w:rPr>
          <w:sz w:val="22"/>
        </w:rPr>
        <w:t xml:space="preserve">MAC </w:t>
      </w:r>
      <w:r w:rsidRPr="009C00D0">
        <w:rPr>
          <w:sz w:val="22"/>
        </w:rPr>
        <w:tab/>
        <w:t>Model Arctic Council</w:t>
      </w:r>
    </w:p>
    <w:p w14:paraId="0E0812D3" w14:textId="77777777" w:rsidR="009C00D0" w:rsidRPr="009C00D0" w:rsidRDefault="009C00D0" w:rsidP="009C00D0">
      <w:pPr>
        <w:spacing w:after="0"/>
        <w:ind w:left="1530" w:hanging="1530"/>
        <w:rPr>
          <w:sz w:val="22"/>
        </w:rPr>
      </w:pPr>
      <w:r w:rsidRPr="009C00D0">
        <w:rPr>
          <w:sz w:val="22"/>
        </w:rPr>
        <w:t>MFA</w:t>
      </w:r>
      <w:r w:rsidRPr="009C00D0">
        <w:rPr>
          <w:sz w:val="22"/>
        </w:rPr>
        <w:tab/>
        <w:t>Ministry of Foreign Affairs</w:t>
      </w:r>
    </w:p>
    <w:p w14:paraId="66C6F048" w14:textId="77777777" w:rsidR="009C00D0" w:rsidRPr="009C00D0" w:rsidRDefault="009C00D0" w:rsidP="009C00D0">
      <w:pPr>
        <w:spacing w:after="0"/>
        <w:ind w:left="1530" w:hanging="1530"/>
        <w:rPr>
          <w:sz w:val="22"/>
        </w:rPr>
      </w:pPr>
      <w:r w:rsidRPr="009C00D0">
        <w:rPr>
          <w:sz w:val="22"/>
        </w:rPr>
        <w:t>MOSPA</w:t>
      </w:r>
      <w:r w:rsidRPr="009C00D0">
        <w:rPr>
          <w:sz w:val="22"/>
        </w:rPr>
        <w:tab/>
        <w:t>Agreement on Cooperation on Marine Oil Pollution Preparedness and Response in the Arctic (2013)</w:t>
      </w:r>
    </w:p>
    <w:p w14:paraId="78FCECDE" w14:textId="77777777" w:rsidR="009C00D0" w:rsidRPr="009C00D0" w:rsidRDefault="009C00D0" w:rsidP="009C00D0">
      <w:pPr>
        <w:spacing w:after="0"/>
        <w:ind w:left="1530" w:hanging="1530"/>
        <w:rPr>
          <w:sz w:val="22"/>
        </w:rPr>
      </w:pPr>
      <w:r w:rsidRPr="009C00D0">
        <w:rPr>
          <w:sz w:val="22"/>
        </w:rPr>
        <w:t>MOU</w:t>
      </w:r>
      <w:r w:rsidRPr="009C00D0">
        <w:rPr>
          <w:sz w:val="22"/>
        </w:rPr>
        <w:tab/>
        <w:t>Memorandum of Understanding</w:t>
      </w:r>
    </w:p>
    <w:p w14:paraId="1A180460" w14:textId="77777777" w:rsidR="009C00D0" w:rsidRPr="009C00D0" w:rsidRDefault="009C00D0" w:rsidP="009C00D0">
      <w:pPr>
        <w:spacing w:after="0"/>
        <w:ind w:left="1530" w:hanging="1530"/>
        <w:rPr>
          <w:sz w:val="22"/>
        </w:rPr>
      </w:pPr>
      <w:r w:rsidRPr="009C00D0">
        <w:rPr>
          <w:sz w:val="22"/>
        </w:rPr>
        <w:t>MPA</w:t>
      </w:r>
      <w:r w:rsidRPr="009C00D0">
        <w:rPr>
          <w:sz w:val="22"/>
        </w:rPr>
        <w:tab/>
        <w:t>Marine protected area</w:t>
      </w:r>
    </w:p>
    <w:p w14:paraId="266C96F1" w14:textId="77777777" w:rsidR="009C00D0" w:rsidRPr="009C00D0" w:rsidRDefault="009C00D0" w:rsidP="009C00D0">
      <w:pPr>
        <w:spacing w:after="0"/>
        <w:ind w:left="1530" w:hanging="1530"/>
        <w:rPr>
          <w:sz w:val="22"/>
        </w:rPr>
      </w:pPr>
      <w:r w:rsidRPr="009C00D0">
        <w:rPr>
          <w:sz w:val="22"/>
        </w:rPr>
        <w:t>O&amp;G</w:t>
      </w:r>
      <w:r w:rsidRPr="009C00D0">
        <w:rPr>
          <w:sz w:val="22"/>
        </w:rPr>
        <w:tab/>
        <w:t>Oil and gas</w:t>
      </w:r>
    </w:p>
    <w:p w14:paraId="2EE75AA4" w14:textId="77777777" w:rsidR="009C00D0" w:rsidRPr="009C00D0" w:rsidRDefault="009C00D0" w:rsidP="009C00D0">
      <w:pPr>
        <w:spacing w:after="0"/>
        <w:ind w:left="1530" w:hanging="1530"/>
        <w:rPr>
          <w:sz w:val="22"/>
        </w:rPr>
      </w:pPr>
      <w:r w:rsidRPr="009C00D0">
        <w:rPr>
          <w:sz w:val="22"/>
        </w:rPr>
        <w:t>OAR</w:t>
      </w:r>
      <w:r w:rsidRPr="009C00D0">
        <w:rPr>
          <w:sz w:val="22"/>
        </w:rPr>
        <w:tab/>
        <w:t>Open Access Repository</w:t>
      </w:r>
    </w:p>
    <w:p w14:paraId="7C8D1D2A" w14:textId="77777777" w:rsidR="009C00D0" w:rsidRPr="009C00D0" w:rsidRDefault="009C00D0" w:rsidP="009C00D0">
      <w:pPr>
        <w:spacing w:after="0"/>
        <w:ind w:left="1530" w:hanging="1530"/>
        <w:rPr>
          <w:sz w:val="22"/>
        </w:rPr>
      </w:pPr>
      <w:r w:rsidRPr="009C00D0">
        <w:rPr>
          <w:sz w:val="22"/>
        </w:rPr>
        <w:t>PAME</w:t>
      </w:r>
      <w:r w:rsidRPr="009C00D0">
        <w:rPr>
          <w:sz w:val="22"/>
        </w:rPr>
        <w:tab/>
        <w:t>Protection of the Arctic Marine Environment (1 of 6 Working Groups)</w:t>
      </w:r>
    </w:p>
    <w:p w14:paraId="4CA4E16C" w14:textId="77777777" w:rsidR="009C00D0" w:rsidRPr="002654B5" w:rsidRDefault="009C00D0" w:rsidP="009C00D0">
      <w:pPr>
        <w:spacing w:after="0"/>
        <w:ind w:left="1530" w:hanging="1530"/>
        <w:rPr>
          <w:sz w:val="22"/>
          <w:lang w:val="fr-CA"/>
        </w:rPr>
      </w:pPr>
      <w:r w:rsidRPr="002654B5">
        <w:rPr>
          <w:sz w:val="22"/>
          <w:lang w:val="fr-CA"/>
        </w:rPr>
        <w:t>POPs</w:t>
      </w:r>
      <w:r w:rsidRPr="002654B5">
        <w:rPr>
          <w:sz w:val="22"/>
          <w:lang w:val="fr-CA"/>
        </w:rPr>
        <w:tab/>
        <w:t>Persistent organic pollutants</w:t>
      </w:r>
    </w:p>
    <w:p w14:paraId="6C68CE2A" w14:textId="77777777" w:rsidR="009C00D0" w:rsidRPr="002654B5" w:rsidRDefault="009C00D0" w:rsidP="009C00D0">
      <w:pPr>
        <w:spacing w:after="0"/>
        <w:ind w:left="1530" w:hanging="1530"/>
        <w:rPr>
          <w:sz w:val="22"/>
          <w:lang w:val="fr-CA"/>
        </w:rPr>
      </w:pPr>
      <w:r w:rsidRPr="002654B5">
        <w:rPr>
          <w:sz w:val="22"/>
          <w:lang w:val="fr-CA"/>
        </w:rPr>
        <w:t>PP / PPs</w:t>
      </w:r>
      <w:r w:rsidRPr="002654B5">
        <w:rPr>
          <w:sz w:val="22"/>
          <w:lang w:val="fr-CA"/>
        </w:rPr>
        <w:tab/>
        <w:t>Permanent Participant(s)</w:t>
      </w:r>
    </w:p>
    <w:p w14:paraId="0BBA0A9C" w14:textId="77777777" w:rsidR="009C00D0" w:rsidRPr="009C00D0" w:rsidRDefault="009C00D0" w:rsidP="009C00D0">
      <w:pPr>
        <w:spacing w:after="0"/>
        <w:ind w:left="1530" w:hanging="1530"/>
        <w:rPr>
          <w:sz w:val="22"/>
        </w:rPr>
      </w:pPr>
      <w:r w:rsidRPr="009C00D0">
        <w:rPr>
          <w:sz w:val="22"/>
        </w:rPr>
        <w:t>PSI</w:t>
      </w:r>
      <w:r w:rsidRPr="009C00D0">
        <w:rPr>
          <w:sz w:val="22"/>
        </w:rPr>
        <w:tab/>
        <w:t>Project Support Instrument</w:t>
      </w:r>
    </w:p>
    <w:p w14:paraId="7B35C521" w14:textId="77777777" w:rsidR="009C00D0" w:rsidRPr="009C00D0" w:rsidRDefault="009C00D0" w:rsidP="009C00D0">
      <w:pPr>
        <w:spacing w:after="0"/>
        <w:ind w:left="1530" w:hanging="1530"/>
        <w:rPr>
          <w:sz w:val="22"/>
        </w:rPr>
      </w:pPr>
      <w:r w:rsidRPr="009C00D0">
        <w:rPr>
          <w:sz w:val="22"/>
        </w:rPr>
        <w:t>RAIPON</w:t>
      </w:r>
      <w:r w:rsidRPr="009C00D0">
        <w:rPr>
          <w:sz w:val="22"/>
        </w:rPr>
        <w:tab/>
        <w:t>Russian Association of Indigenous Peoples of the North</w:t>
      </w:r>
    </w:p>
    <w:p w14:paraId="58D8879C" w14:textId="77777777" w:rsidR="009C00D0" w:rsidRPr="009C00D0" w:rsidRDefault="009C00D0" w:rsidP="009C00D0">
      <w:pPr>
        <w:spacing w:after="0"/>
        <w:ind w:left="1530" w:hanging="1530"/>
        <w:rPr>
          <w:sz w:val="22"/>
        </w:rPr>
      </w:pPr>
      <w:r w:rsidRPr="009C00D0">
        <w:rPr>
          <w:sz w:val="22"/>
        </w:rPr>
        <w:t>RRFP</w:t>
      </w:r>
      <w:r w:rsidRPr="009C00D0">
        <w:rPr>
          <w:sz w:val="22"/>
        </w:rPr>
        <w:tab/>
        <w:t>[Arctic] Regional Reception Facilities Plan (PAME initiative)</w:t>
      </w:r>
    </w:p>
    <w:p w14:paraId="05D758FF" w14:textId="77777777" w:rsidR="009C00D0" w:rsidRPr="009C00D0" w:rsidRDefault="009C00D0" w:rsidP="009C00D0">
      <w:pPr>
        <w:spacing w:after="0"/>
        <w:ind w:left="1530" w:hanging="1530"/>
        <w:rPr>
          <w:sz w:val="22"/>
        </w:rPr>
      </w:pPr>
      <w:r w:rsidRPr="009C00D0">
        <w:rPr>
          <w:sz w:val="22"/>
        </w:rPr>
        <w:t>SAMBR</w:t>
      </w:r>
      <w:r w:rsidRPr="009C00D0">
        <w:rPr>
          <w:sz w:val="22"/>
        </w:rPr>
        <w:tab/>
        <w:t>State of the Arctic Marine Biodiversity Report (CAFF initiative)</w:t>
      </w:r>
    </w:p>
    <w:p w14:paraId="317DE2A3" w14:textId="77777777" w:rsidR="009C00D0" w:rsidRPr="009C00D0" w:rsidRDefault="009C00D0" w:rsidP="009C00D0">
      <w:pPr>
        <w:spacing w:after="0"/>
        <w:ind w:left="1530" w:hanging="1530"/>
        <w:rPr>
          <w:sz w:val="22"/>
        </w:rPr>
      </w:pPr>
      <w:r w:rsidRPr="009C00D0">
        <w:rPr>
          <w:sz w:val="22"/>
        </w:rPr>
        <w:t>SAO / SAOs</w:t>
      </w:r>
      <w:r w:rsidRPr="009C00D0">
        <w:rPr>
          <w:sz w:val="22"/>
        </w:rPr>
        <w:tab/>
        <w:t>Senior Arctic Official(s)</w:t>
      </w:r>
    </w:p>
    <w:p w14:paraId="456C634D" w14:textId="77777777" w:rsidR="009C00D0" w:rsidRPr="009C00D0" w:rsidRDefault="009C00D0" w:rsidP="009C00D0">
      <w:pPr>
        <w:spacing w:after="0"/>
        <w:ind w:left="1530" w:hanging="1530"/>
        <w:rPr>
          <w:sz w:val="22"/>
        </w:rPr>
      </w:pPr>
      <w:r w:rsidRPr="009C00D0">
        <w:rPr>
          <w:sz w:val="22"/>
        </w:rPr>
        <w:t>SAOC</w:t>
      </w:r>
      <w:r w:rsidRPr="009C00D0">
        <w:rPr>
          <w:sz w:val="22"/>
        </w:rPr>
        <w:tab/>
        <w:t>SAO Chair (Chair of the Senior Arctic Officials)</w:t>
      </w:r>
    </w:p>
    <w:p w14:paraId="6A2A63E0" w14:textId="77777777" w:rsidR="009C00D0" w:rsidRPr="009C00D0" w:rsidRDefault="009C00D0" w:rsidP="009C00D0">
      <w:pPr>
        <w:spacing w:after="0"/>
        <w:ind w:left="1530" w:hanging="1530"/>
        <w:rPr>
          <w:sz w:val="22"/>
        </w:rPr>
      </w:pPr>
      <w:r w:rsidRPr="009C00D0">
        <w:rPr>
          <w:sz w:val="22"/>
        </w:rPr>
        <w:t>SAON</w:t>
      </w:r>
      <w:r w:rsidRPr="009C00D0">
        <w:rPr>
          <w:sz w:val="22"/>
        </w:rPr>
        <w:tab/>
        <w:t>Sustaining Arctic Observing Networks</w:t>
      </w:r>
    </w:p>
    <w:p w14:paraId="77467F95" w14:textId="77777777" w:rsidR="009C00D0" w:rsidRPr="009C00D0" w:rsidRDefault="009C00D0" w:rsidP="009C00D0">
      <w:pPr>
        <w:spacing w:after="0"/>
        <w:ind w:left="1530" w:hanging="1530"/>
        <w:rPr>
          <w:sz w:val="22"/>
        </w:rPr>
      </w:pPr>
      <w:r w:rsidRPr="009C00D0">
        <w:rPr>
          <w:sz w:val="22"/>
        </w:rPr>
        <w:t>SAOX</w:t>
      </w:r>
      <w:r w:rsidRPr="009C00D0">
        <w:rPr>
          <w:sz w:val="22"/>
        </w:rPr>
        <w:tab/>
        <w:t>Senior Arctic Officials’ executive [meeting]</w:t>
      </w:r>
    </w:p>
    <w:p w14:paraId="669976F4" w14:textId="77777777" w:rsidR="009C00D0" w:rsidRPr="009C00D0" w:rsidRDefault="009C00D0" w:rsidP="009C00D0">
      <w:pPr>
        <w:spacing w:after="0"/>
        <w:ind w:left="1530" w:hanging="1530"/>
        <w:rPr>
          <w:sz w:val="22"/>
        </w:rPr>
      </w:pPr>
      <w:r w:rsidRPr="009C00D0">
        <w:rPr>
          <w:sz w:val="22"/>
        </w:rPr>
        <w:t>SAR</w:t>
      </w:r>
      <w:r w:rsidRPr="009C00D0">
        <w:rPr>
          <w:sz w:val="22"/>
        </w:rPr>
        <w:tab/>
        <w:t>Search and rescue</w:t>
      </w:r>
    </w:p>
    <w:p w14:paraId="28756A59" w14:textId="77777777" w:rsidR="009C00D0" w:rsidRPr="009C00D0" w:rsidRDefault="009C00D0" w:rsidP="009C00D0">
      <w:pPr>
        <w:spacing w:after="0"/>
        <w:ind w:left="1530" w:hanging="1530"/>
        <w:rPr>
          <w:sz w:val="22"/>
        </w:rPr>
      </w:pPr>
      <w:r w:rsidRPr="009C00D0">
        <w:rPr>
          <w:sz w:val="22"/>
        </w:rPr>
        <w:t>SCTF</w:t>
      </w:r>
      <w:r w:rsidRPr="009C00D0">
        <w:rPr>
          <w:sz w:val="22"/>
        </w:rPr>
        <w:tab/>
        <w:t>Task Force on Enhancing Scientific Cooperation in the Arctic</w:t>
      </w:r>
    </w:p>
    <w:p w14:paraId="3B7DADE7" w14:textId="77777777" w:rsidR="009C00D0" w:rsidRPr="009C00D0" w:rsidRDefault="009C00D0" w:rsidP="009C00D0">
      <w:pPr>
        <w:spacing w:after="0"/>
        <w:ind w:left="1530" w:hanging="1530"/>
        <w:rPr>
          <w:sz w:val="22"/>
        </w:rPr>
      </w:pPr>
      <w:r w:rsidRPr="009C00D0">
        <w:rPr>
          <w:sz w:val="22"/>
        </w:rPr>
        <w:t>SDGs</w:t>
      </w:r>
      <w:r w:rsidRPr="009C00D0">
        <w:rPr>
          <w:sz w:val="22"/>
        </w:rPr>
        <w:tab/>
        <w:t>[UN] Sustainable Development Goals</w:t>
      </w:r>
    </w:p>
    <w:p w14:paraId="5F853B07" w14:textId="77777777" w:rsidR="009C00D0" w:rsidRPr="009C00D0" w:rsidRDefault="009C00D0" w:rsidP="009C00D0">
      <w:pPr>
        <w:spacing w:after="0"/>
        <w:ind w:left="1530" w:hanging="1530"/>
        <w:rPr>
          <w:sz w:val="22"/>
        </w:rPr>
      </w:pPr>
      <w:r w:rsidRPr="009C00D0">
        <w:rPr>
          <w:sz w:val="22"/>
        </w:rPr>
        <w:t>SDI</w:t>
      </w:r>
      <w:r w:rsidRPr="009C00D0">
        <w:rPr>
          <w:sz w:val="22"/>
        </w:rPr>
        <w:tab/>
        <w:t>[Arctic] Spatial Data Infrastructure</w:t>
      </w:r>
    </w:p>
    <w:p w14:paraId="153659A8" w14:textId="77777777" w:rsidR="009C00D0" w:rsidRPr="009C00D0" w:rsidRDefault="009C00D0" w:rsidP="009C00D0">
      <w:pPr>
        <w:spacing w:after="0"/>
        <w:ind w:left="1530" w:hanging="1530"/>
        <w:rPr>
          <w:sz w:val="22"/>
        </w:rPr>
      </w:pPr>
      <w:r w:rsidRPr="009C00D0">
        <w:rPr>
          <w:sz w:val="22"/>
        </w:rPr>
        <w:t>SDWG</w:t>
      </w:r>
      <w:r w:rsidRPr="009C00D0">
        <w:rPr>
          <w:sz w:val="22"/>
        </w:rPr>
        <w:tab/>
        <w:t>Sustainable Development Working Group (1 of 6 Working Groups)</w:t>
      </w:r>
    </w:p>
    <w:p w14:paraId="611A3AE6" w14:textId="77777777" w:rsidR="009C00D0" w:rsidRPr="009C00D0" w:rsidRDefault="009C00D0" w:rsidP="009C00D0">
      <w:pPr>
        <w:spacing w:after="0"/>
        <w:ind w:left="1530" w:hanging="1530"/>
        <w:rPr>
          <w:sz w:val="22"/>
        </w:rPr>
      </w:pPr>
      <w:r w:rsidRPr="009C00D0">
        <w:rPr>
          <w:sz w:val="22"/>
        </w:rPr>
        <w:t>SLCFs</w:t>
      </w:r>
      <w:r w:rsidRPr="009C00D0">
        <w:rPr>
          <w:sz w:val="22"/>
        </w:rPr>
        <w:tab/>
        <w:t>Short-lived climate forcers</w:t>
      </w:r>
    </w:p>
    <w:p w14:paraId="46528496" w14:textId="77777777" w:rsidR="009C00D0" w:rsidRPr="009C00D0" w:rsidRDefault="009C00D0" w:rsidP="009C00D0">
      <w:pPr>
        <w:spacing w:after="0"/>
        <w:ind w:left="1530" w:hanging="1530"/>
        <w:rPr>
          <w:sz w:val="22"/>
        </w:rPr>
      </w:pPr>
      <w:r w:rsidRPr="009C00D0">
        <w:rPr>
          <w:sz w:val="22"/>
        </w:rPr>
        <w:t>SLCPs</w:t>
      </w:r>
      <w:r w:rsidRPr="009C00D0">
        <w:rPr>
          <w:sz w:val="22"/>
        </w:rPr>
        <w:tab/>
        <w:t>Short-lived climate pollutants</w:t>
      </w:r>
    </w:p>
    <w:p w14:paraId="66B55212" w14:textId="77777777" w:rsidR="009C00D0" w:rsidRPr="009C00D0" w:rsidRDefault="009C00D0" w:rsidP="009C00D0">
      <w:pPr>
        <w:spacing w:after="0"/>
        <w:ind w:left="1530" w:hanging="1530"/>
        <w:rPr>
          <w:sz w:val="22"/>
        </w:rPr>
      </w:pPr>
      <w:r w:rsidRPr="009C00D0">
        <w:rPr>
          <w:sz w:val="22"/>
        </w:rPr>
        <w:t>SWIPA</w:t>
      </w:r>
      <w:r w:rsidRPr="009C00D0">
        <w:rPr>
          <w:sz w:val="22"/>
        </w:rPr>
        <w:tab/>
        <w:t>Snow, Water, Ice and Permafrost in the Arctic (AMAP)</w:t>
      </w:r>
    </w:p>
    <w:p w14:paraId="551A65BD" w14:textId="77777777" w:rsidR="009C00D0" w:rsidRPr="009C00D0" w:rsidRDefault="009C00D0" w:rsidP="009C00D0">
      <w:pPr>
        <w:spacing w:after="0"/>
        <w:ind w:left="1530" w:hanging="1530"/>
        <w:rPr>
          <w:sz w:val="22"/>
        </w:rPr>
      </w:pPr>
      <w:r w:rsidRPr="009C00D0">
        <w:rPr>
          <w:sz w:val="22"/>
        </w:rPr>
        <w:t>TF / TFs</w:t>
      </w:r>
      <w:r w:rsidRPr="009C00D0">
        <w:rPr>
          <w:sz w:val="22"/>
        </w:rPr>
        <w:tab/>
        <w:t>Task Force(s)</w:t>
      </w:r>
    </w:p>
    <w:p w14:paraId="70BDDE65" w14:textId="77777777" w:rsidR="009C00D0" w:rsidRPr="009C00D0" w:rsidRDefault="009C00D0" w:rsidP="009C00D0">
      <w:pPr>
        <w:spacing w:after="0"/>
        <w:ind w:left="1530" w:hanging="1530"/>
        <w:rPr>
          <w:sz w:val="22"/>
        </w:rPr>
      </w:pPr>
      <w:r w:rsidRPr="009C00D0">
        <w:rPr>
          <w:sz w:val="22"/>
        </w:rPr>
        <w:t>TFAMC</w:t>
      </w:r>
      <w:r w:rsidRPr="009C00D0">
        <w:rPr>
          <w:sz w:val="22"/>
        </w:rPr>
        <w:tab/>
        <w:t>Task Force on Arctic Marine Cooperation</w:t>
      </w:r>
    </w:p>
    <w:p w14:paraId="3F09C79F" w14:textId="77777777" w:rsidR="009C00D0" w:rsidRPr="009C00D0" w:rsidRDefault="009C00D0" w:rsidP="009C00D0">
      <w:pPr>
        <w:spacing w:after="0"/>
        <w:ind w:left="1530" w:hanging="1530"/>
        <w:rPr>
          <w:sz w:val="22"/>
        </w:rPr>
      </w:pPr>
      <w:r w:rsidRPr="009C00D0">
        <w:rPr>
          <w:sz w:val="22"/>
        </w:rPr>
        <w:t>TFAMC-I</w:t>
      </w:r>
      <w:r w:rsidRPr="009C00D0">
        <w:rPr>
          <w:sz w:val="22"/>
        </w:rPr>
        <w:tab/>
        <w:t>Task Force on Arctic Marine Cooperation (2015-2017)</w:t>
      </w:r>
    </w:p>
    <w:p w14:paraId="753BED35" w14:textId="77777777" w:rsidR="009C00D0" w:rsidRPr="009C00D0" w:rsidRDefault="009C00D0" w:rsidP="009C00D0">
      <w:pPr>
        <w:spacing w:after="0"/>
        <w:ind w:left="1530" w:hanging="1530"/>
        <w:rPr>
          <w:sz w:val="22"/>
        </w:rPr>
      </w:pPr>
      <w:r w:rsidRPr="009C00D0">
        <w:rPr>
          <w:sz w:val="22"/>
        </w:rPr>
        <w:t>TFAMC-II</w:t>
      </w:r>
      <w:r w:rsidRPr="009C00D0">
        <w:rPr>
          <w:sz w:val="22"/>
        </w:rPr>
        <w:tab/>
        <w:t>Task Force on Arctic Marine Cooperation (2017-2019)</w:t>
      </w:r>
    </w:p>
    <w:p w14:paraId="17081147" w14:textId="77777777" w:rsidR="009C00D0" w:rsidRPr="009C00D0" w:rsidRDefault="009C00D0" w:rsidP="009C00D0">
      <w:pPr>
        <w:spacing w:after="0"/>
        <w:ind w:left="1530" w:hanging="1530"/>
        <w:rPr>
          <w:sz w:val="22"/>
        </w:rPr>
      </w:pPr>
      <w:r w:rsidRPr="009C00D0">
        <w:rPr>
          <w:sz w:val="22"/>
        </w:rPr>
        <w:t>TFICA</w:t>
      </w:r>
      <w:r w:rsidRPr="009C00D0">
        <w:rPr>
          <w:sz w:val="22"/>
        </w:rPr>
        <w:tab/>
        <w:t>Task Force on Improved Connectivity in the Arctic</w:t>
      </w:r>
    </w:p>
    <w:p w14:paraId="2B8B908F" w14:textId="77777777" w:rsidR="009C00D0" w:rsidRPr="009C00D0" w:rsidRDefault="009C00D0" w:rsidP="009C00D0">
      <w:pPr>
        <w:spacing w:after="0"/>
        <w:ind w:left="1530" w:hanging="1530"/>
        <w:rPr>
          <w:sz w:val="22"/>
        </w:rPr>
      </w:pPr>
      <w:r w:rsidRPr="009C00D0">
        <w:rPr>
          <w:sz w:val="22"/>
        </w:rPr>
        <w:t>TFOPP</w:t>
      </w:r>
      <w:r w:rsidRPr="009C00D0">
        <w:rPr>
          <w:sz w:val="22"/>
        </w:rPr>
        <w:tab/>
        <w:t>Task Force on Arctic Marine Oil Pollution Prevention</w:t>
      </w:r>
    </w:p>
    <w:p w14:paraId="24358788" w14:textId="77777777" w:rsidR="009C00D0" w:rsidRPr="009C00D0" w:rsidRDefault="009C00D0" w:rsidP="009C00D0">
      <w:pPr>
        <w:spacing w:after="0"/>
        <w:ind w:left="1530" w:hanging="1530"/>
        <w:rPr>
          <w:sz w:val="22"/>
        </w:rPr>
      </w:pPr>
      <w:r w:rsidRPr="009C00D0">
        <w:rPr>
          <w:sz w:val="22"/>
        </w:rPr>
        <w:t>TFTIA</w:t>
      </w:r>
      <w:r w:rsidRPr="009C00D0">
        <w:rPr>
          <w:sz w:val="22"/>
        </w:rPr>
        <w:tab/>
        <w:t>Task Force on Telecommunications Infrastructure in the Arctic</w:t>
      </w:r>
    </w:p>
    <w:p w14:paraId="349D2E1F" w14:textId="77777777" w:rsidR="009C00D0" w:rsidRPr="009C00D0" w:rsidRDefault="009C00D0" w:rsidP="009C00D0">
      <w:pPr>
        <w:spacing w:after="0"/>
        <w:ind w:left="1530" w:hanging="1530"/>
        <w:rPr>
          <w:sz w:val="22"/>
        </w:rPr>
      </w:pPr>
      <w:r w:rsidRPr="009C00D0">
        <w:rPr>
          <w:sz w:val="22"/>
        </w:rPr>
        <w:t>TK</w:t>
      </w:r>
      <w:r w:rsidRPr="009C00D0">
        <w:rPr>
          <w:sz w:val="22"/>
        </w:rPr>
        <w:tab/>
        <w:t>Traditional knowledge</w:t>
      </w:r>
    </w:p>
    <w:p w14:paraId="0CFF1A34" w14:textId="77777777" w:rsidR="009C00D0" w:rsidRPr="009C00D0" w:rsidRDefault="009C00D0" w:rsidP="009C00D0">
      <w:pPr>
        <w:spacing w:after="0"/>
        <w:ind w:left="1530" w:hanging="1530"/>
        <w:rPr>
          <w:sz w:val="22"/>
        </w:rPr>
      </w:pPr>
      <w:r w:rsidRPr="009C00D0">
        <w:rPr>
          <w:sz w:val="22"/>
        </w:rPr>
        <w:t>TLK</w:t>
      </w:r>
      <w:r w:rsidRPr="009C00D0">
        <w:rPr>
          <w:sz w:val="22"/>
        </w:rPr>
        <w:tab/>
        <w:t>Traditional and local knowledge</w:t>
      </w:r>
    </w:p>
    <w:p w14:paraId="319D068C" w14:textId="77777777" w:rsidR="009C00D0" w:rsidRPr="002654B5" w:rsidRDefault="009C00D0" w:rsidP="009C00D0">
      <w:pPr>
        <w:spacing w:after="0"/>
        <w:ind w:left="1530" w:hanging="1530"/>
        <w:rPr>
          <w:sz w:val="22"/>
          <w:lang w:val="fr-CA"/>
        </w:rPr>
      </w:pPr>
      <w:r w:rsidRPr="002654B5">
        <w:rPr>
          <w:sz w:val="22"/>
          <w:lang w:val="fr-CA"/>
        </w:rPr>
        <w:t>UNFCCC</w:t>
      </w:r>
      <w:r w:rsidRPr="002654B5">
        <w:rPr>
          <w:sz w:val="22"/>
          <w:lang w:val="fr-CA"/>
        </w:rPr>
        <w:tab/>
        <w:t>UN Framework Convention on Climate Change</w:t>
      </w:r>
    </w:p>
    <w:p w14:paraId="7010F18A" w14:textId="77777777" w:rsidR="009C00D0" w:rsidRPr="009C00D0" w:rsidRDefault="009C00D0" w:rsidP="009C00D0">
      <w:pPr>
        <w:spacing w:after="0"/>
        <w:ind w:left="1530" w:hanging="1530"/>
        <w:rPr>
          <w:sz w:val="22"/>
        </w:rPr>
      </w:pPr>
      <w:r w:rsidRPr="009C00D0">
        <w:rPr>
          <w:sz w:val="22"/>
        </w:rPr>
        <w:t>WG</w:t>
      </w:r>
      <w:r w:rsidRPr="009C00D0">
        <w:rPr>
          <w:sz w:val="22"/>
        </w:rPr>
        <w:tab/>
        <w:t>Working Group</w:t>
      </w:r>
    </w:p>
    <w:p w14:paraId="550F1C50" w14:textId="77777777" w:rsidR="00B56A52" w:rsidRDefault="009C00D0" w:rsidP="009C00D0">
      <w:pPr>
        <w:spacing w:after="0"/>
        <w:ind w:left="1530" w:hanging="1530"/>
      </w:pPr>
      <w:r w:rsidRPr="009C00D0">
        <w:rPr>
          <w:sz w:val="22"/>
        </w:rPr>
        <w:t>WMO</w:t>
      </w:r>
      <w:r w:rsidRPr="009C00D0">
        <w:rPr>
          <w:sz w:val="22"/>
        </w:rPr>
        <w:tab/>
        <w:t>World Meteorological Organization</w:t>
      </w:r>
    </w:p>
    <w:p w14:paraId="3FBE1988" w14:textId="77777777" w:rsidR="00951BD8" w:rsidRDefault="00B4789D" w:rsidP="00B4789D">
      <w:pPr>
        <w:pStyle w:val="Heading1"/>
      </w:pPr>
      <w:r w:rsidRPr="00B4789D">
        <w:lastRenderedPageBreak/>
        <w:t>1.</w:t>
      </w:r>
      <w:r>
        <w:t xml:space="preserve"> </w:t>
      </w:r>
      <w:r w:rsidR="00951BD8">
        <w:t>Introduction</w:t>
      </w:r>
    </w:p>
    <w:p w14:paraId="7AE64288" w14:textId="77777777" w:rsidR="00B80653" w:rsidRDefault="00951BD8" w:rsidP="00E046BB">
      <w:pPr>
        <w:pStyle w:val="Heading2"/>
      </w:pPr>
      <w:r>
        <w:t>1.1</w:t>
      </w:r>
      <w:r w:rsidR="00723BDB">
        <w:t>.</w:t>
      </w:r>
      <w:r w:rsidR="00B4789D">
        <w:t xml:space="preserve"> </w:t>
      </w:r>
      <w:r w:rsidR="00605203">
        <w:t>Opening</w:t>
      </w:r>
      <w:r>
        <w:t xml:space="preserve"> remarks</w:t>
      </w:r>
    </w:p>
    <w:p w14:paraId="6E934A39" w14:textId="77777777" w:rsidR="00951BD8" w:rsidRDefault="00F7701F" w:rsidP="00951BD8">
      <w:r>
        <w:t xml:space="preserve">The SAOC welcomed delegates to the second plenary meeting of SAOs during the Chairmanship of Finland (2017-2019). </w:t>
      </w:r>
    </w:p>
    <w:p w14:paraId="23935F6D" w14:textId="77777777" w:rsidR="00F7701F" w:rsidRDefault="00F7701F" w:rsidP="00951BD8">
      <w:r>
        <w:t xml:space="preserve">The Saami Council welcomed delegates to the </w:t>
      </w:r>
      <w:r w:rsidR="00CE27ED">
        <w:t>region</w:t>
      </w:r>
      <w:r w:rsidR="00E26D21">
        <w:t>, which</w:t>
      </w:r>
      <w:r w:rsidR="00CE27ED">
        <w:t xml:space="preserve"> </w:t>
      </w:r>
      <w:r>
        <w:t>border</w:t>
      </w:r>
      <w:r w:rsidR="00E26D21">
        <w:t>s</w:t>
      </w:r>
      <w:r w:rsidR="00CE27ED">
        <w:t xml:space="preserve"> on</w:t>
      </w:r>
      <w:r>
        <w:t xml:space="preserve"> Sápmi</w:t>
      </w:r>
      <w:r w:rsidR="00E26D21">
        <w:t>,</w:t>
      </w:r>
      <w:r>
        <w:t xml:space="preserve"> and introduced youth delegates from the Saami Council and ICC who </w:t>
      </w:r>
      <w:r w:rsidR="00E26D21">
        <w:t xml:space="preserve">were </w:t>
      </w:r>
      <w:r w:rsidR="004F3A9B">
        <w:t>attend</w:t>
      </w:r>
      <w:r w:rsidR="00E26D21">
        <w:t>ing</w:t>
      </w:r>
      <w:r w:rsidR="004F3A9B">
        <w:t xml:space="preserve"> the SAO plenary meeting</w:t>
      </w:r>
      <w:r w:rsidR="00CE27ED">
        <w:t>.</w:t>
      </w:r>
    </w:p>
    <w:p w14:paraId="67C08FAB" w14:textId="77777777" w:rsidR="00B56A52" w:rsidRDefault="00B56A52" w:rsidP="00951BD8"/>
    <w:p w14:paraId="6154805D" w14:textId="77777777" w:rsidR="00B80653" w:rsidRDefault="00951BD8" w:rsidP="00E046BB">
      <w:pPr>
        <w:pStyle w:val="Heading2"/>
      </w:pPr>
      <w:r>
        <w:t>1.2</w:t>
      </w:r>
      <w:r w:rsidR="00723BDB">
        <w:t>.</w:t>
      </w:r>
      <w:r w:rsidR="00B4789D">
        <w:t xml:space="preserve"> </w:t>
      </w:r>
      <w:r>
        <w:t>Approval of agenda</w:t>
      </w:r>
    </w:p>
    <w:p w14:paraId="01CD698C" w14:textId="77777777" w:rsidR="00DC3615" w:rsidRDefault="00F7701F" w:rsidP="00B4789D">
      <w:r>
        <w:t>The agenda was approved as presented.</w:t>
      </w:r>
    </w:p>
    <w:p w14:paraId="4056D9B4" w14:textId="77777777" w:rsidR="00B56A52" w:rsidRPr="00DC3615" w:rsidRDefault="00B56A52" w:rsidP="00B4789D"/>
    <w:p w14:paraId="5EEAB0EC" w14:textId="77777777" w:rsidR="00B4789D" w:rsidRDefault="00596A15" w:rsidP="00B4789D">
      <w:pPr>
        <w:pStyle w:val="Heading2"/>
      </w:pPr>
      <w:r>
        <w:t>1.3. Welcome speech</w:t>
      </w:r>
    </w:p>
    <w:p w14:paraId="6C92391B" w14:textId="77777777" w:rsidR="00DC3615" w:rsidRPr="00B56A52" w:rsidRDefault="00A96A5D" w:rsidP="00951BD8">
      <w:r>
        <w:t>Minister of Transport and Communications of Finland Anne Berner delivered a welcome speech via video. She praised the developing collaboration between</w:t>
      </w:r>
      <w:r w:rsidR="004769CE">
        <w:t xml:space="preserve"> the WMO and the Arctic Council</w:t>
      </w:r>
      <w:r>
        <w:t xml:space="preserve"> as well as AMAP’s decision to include meteorology as a permanent component of its future work plans. She also pointed to </w:t>
      </w:r>
      <w:r w:rsidR="00596A15">
        <w:t xml:space="preserve">improved </w:t>
      </w:r>
      <w:r>
        <w:t>connectivity as a</w:t>
      </w:r>
      <w:r w:rsidR="00596A15">
        <w:t xml:space="preserve"> major</w:t>
      </w:r>
      <w:r>
        <w:t xml:space="preserve"> step to improving the resilience of Arctic communities. </w:t>
      </w:r>
    </w:p>
    <w:p w14:paraId="40A5A5D0" w14:textId="77777777" w:rsidR="00B56A52" w:rsidRPr="00B56A52" w:rsidRDefault="00B56A52" w:rsidP="00951BD8"/>
    <w:p w14:paraId="2DD6F0B5" w14:textId="77777777" w:rsidR="00AF4312" w:rsidRPr="00CC2E5E" w:rsidRDefault="00B4789D" w:rsidP="00CC2E5E">
      <w:pPr>
        <w:pStyle w:val="Heading1"/>
      </w:pPr>
      <w:r>
        <w:t>2. Report from SAO executive meeting</w:t>
      </w:r>
    </w:p>
    <w:p w14:paraId="29DD28EC" w14:textId="77777777" w:rsidR="00B56A52" w:rsidRDefault="00596A15" w:rsidP="00951BD8">
      <w:r>
        <w:t>The SAOC provided information on issues discussed in the SAO executive meeting held on 21 March 2018.</w:t>
      </w:r>
      <w:r w:rsidR="004F3A9B">
        <w:t xml:space="preserve"> He noted the following points in particular.</w:t>
      </w:r>
    </w:p>
    <w:p w14:paraId="24779F0E" w14:textId="5FC2BF22" w:rsidR="004F3A9B" w:rsidRDefault="004F3A9B" w:rsidP="004F3A9B">
      <w:pPr>
        <w:pStyle w:val="ListParagraph"/>
        <w:numPr>
          <w:ilvl w:val="0"/>
          <w:numId w:val="18"/>
        </w:numPr>
      </w:pPr>
      <w:r>
        <w:t>Regarding the strategic plan for the Arctic Council, Canada provided a review of the workshop held in London, after which delegates to the SAOX discussed the first draft of the plan. The draft has four sections – an introduction, principles, priorities, and implementation and follow-up. The discussions were animated by: a strong focus on the Arctic Council’s desired functions;</w:t>
      </w:r>
      <w:r w:rsidR="0081725F">
        <w:t xml:space="preserve"> promotion of the </w:t>
      </w:r>
      <w:r w:rsidR="00273A28">
        <w:t xml:space="preserve">well-being of the inhabitants of the </w:t>
      </w:r>
      <w:r w:rsidR="0081725F">
        <w:t>Arctic</w:t>
      </w:r>
      <w:r>
        <w:t>; regular referral to the three pillars of sustainable development; a sense of the Council’s role in communicating outward about the Arctic; and knowledge of the Council’s influence in helping to maintain an environment of peace, constructive cooperation, and dialogue in the region.</w:t>
      </w:r>
    </w:p>
    <w:p w14:paraId="1C1DB434" w14:textId="39184519" w:rsidR="004F3A9B" w:rsidRDefault="004F3A9B" w:rsidP="004F3A9B">
      <w:pPr>
        <w:pStyle w:val="ListParagraph"/>
        <w:numPr>
          <w:ilvl w:val="0"/>
          <w:numId w:val="18"/>
        </w:numPr>
      </w:pPr>
      <w:r>
        <w:t>Regarding the T</w:t>
      </w:r>
      <w:r w:rsidR="00E43481">
        <w:t xml:space="preserve">ask Force on </w:t>
      </w:r>
      <w:r w:rsidR="00E31028">
        <w:t xml:space="preserve">Arctic </w:t>
      </w:r>
      <w:r w:rsidR="00E43481">
        <w:t>Marine Cooperation</w:t>
      </w:r>
      <w:r>
        <w:t>, delegates recognized that its work is closely connected to the strategic plan</w:t>
      </w:r>
      <w:r w:rsidR="004769CE">
        <w:t>ning process</w:t>
      </w:r>
      <w:r>
        <w:t xml:space="preserve">. The TFAMC-II was asked to focus its remaining time on complementary enhancements, and </w:t>
      </w:r>
      <w:r w:rsidR="00554330">
        <w:t xml:space="preserve">it </w:t>
      </w:r>
      <w:r>
        <w:t>was advised to devote thought to improving coordination of the Council’s marine work</w:t>
      </w:r>
      <w:r w:rsidR="00AA65DD">
        <w:t xml:space="preserve"> </w:t>
      </w:r>
      <w:r w:rsidR="006F4159">
        <w:lastRenderedPageBreak/>
        <w:t xml:space="preserve">and suspend the work on drafting Terms of Reference for a possible new </w:t>
      </w:r>
      <w:r w:rsidR="00AA65DD">
        <w:t>subsidiary body</w:t>
      </w:r>
      <w:r w:rsidR="006F4159">
        <w:t xml:space="preserve"> at this stage</w:t>
      </w:r>
      <w:r w:rsidR="002654B5">
        <w:t>.</w:t>
      </w:r>
    </w:p>
    <w:p w14:paraId="3A96F9BF" w14:textId="5D031907" w:rsidR="004F3A9B" w:rsidRDefault="004F3A9B" w:rsidP="004F3A9B">
      <w:pPr>
        <w:pStyle w:val="ListParagraph"/>
        <w:numPr>
          <w:ilvl w:val="0"/>
          <w:numId w:val="18"/>
        </w:numPr>
      </w:pPr>
      <w:r>
        <w:t xml:space="preserve">Planning continues for the Arctic Environment Ministers’ meeting </w:t>
      </w:r>
      <w:r w:rsidR="004769CE">
        <w:t xml:space="preserve">(AEMM) </w:t>
      </w:r>
      <w:r>
        <w:t xml:space="preserve">to be held in Rovaniemi in October 2018. </w:t>
      </w:r>
      <w:r w:rsidR="00AA65DD">
        <w:t>Finland</w:t>
      </w:r>
      <w:r>
        <w:t xml:space="preserve"> is gathering input now in order to synthesize background documents for the event. The outcome will be a Chair’s summary that will feed into preparations for the Arctic Council Ministerial meeting in spring 2019. The meeting will tie into the Arctic Biodiversity Congress.</w:t>
      </w:r>
    </w:p>
    <w:p w14:paraId="4CF7D978" w14:textId="77777777" w:rsidR="004F3A9B" w:rsidRDefault="004F3A9B" w:rsidP="004F3A9B">
      <w:pPr>
        <w:pStyle w:val="ListParagraph"/>
        <w:numPr>
          <w:ilvl w:val="0"/>
          <w:numId w:val="18"/>
        </w:numPr>
      </w:pPr>
      <w:r>
        <w:t>The review of the PSI is proceeding according to the terms of reference agreed upon earlier.</w:t>
      </w:r>
    </w:p>
    <w:p w14:paraId="5B5EBC90" w14:textId="77777777" w:rsidR="004F3A9B" w:rsidRDefault="004769CE" w:rsidP="004F3A9B">
      <w:pPr>
        <w:pStyle w:val="ListParagraph"/>
        <w:numPr>
          <w:ilvl w:val="0"/>
          <w:numId w:val="18"/>
        </w:numPr>
      </w:pPr>
      <w:r>
        <w:t xml:space="preserve">The Arctic Council will move </w:t>
      </w:r>
      <w:r w:rsidR="00750C82">
        <w:t>forward on a cooperative initiative with the OECD to examine the economic consequences of black carbon abatement work.</w:t>
      </w:r>
      <w:r>
        <w:t xml:space="preserve"> AMAP and the EGBCM will take the lead.</w:t>
      </w:r>
    </w:p>
    <w:p w14:paraId="5C74D6B3" w14:textId="77777777" w:rsidR="00750C82" w:rsidRPr="00B56A52" w:rsidRDefault="00750C82" w:rsidP="004F3A9B">
      <w:pPr>
        <w:pStyle w:val="ListParagraph"/>
        <w:numPr>
          <w:ilvl w:val="0"/>
          <w:numId w:val="18"/>
        </w:numPr>
      </w:pPr>
      <w:r>
        <w:t>The Arctic Council will have a presence at two upcoming international forums. First, the UN High-Level Political Forum on Sustainable Development (New York, July 2018). Second, the UNFCCC COP24 (Katowice, Poland, December 2018). The Chairmanship will coordinate</w:t>
      </w:r>
      <w:r w:rsidR="004769CE">
        <w:t xml:space="preserve"> both events</w:t>
      </w:r>
      <w:r>
        <w:t>.</w:t>
      </w:r>
    </w:p>
    <w:p w14:paraId="095D6A92" w14:textId="77777777" w:rsidR="00DC3615" w:rsidRDefault="00DC3615" w:rsidP="00951BD8"/>
    <w:p w14:paraId="5FCE18D6" w14:textId="77777777" w:rsidR="00B4789D" w:rsidRPr="00CC2E5E" w:rsidRDefault="006D58F7" w:rsidP="00B4789D">
      <w:pPr>
        <w:pStyle w:val="Heading1"/>
      </w:pPr>
      <w:r>
        <w:t>3</w:t>
      </w:r>
      <w:r w:rsidR="00B4789D">
        <w:t>. Arctic Council Secretariat update</w:t>
      </w:r>
    </w:p>
    <w:p w14:paraId="009BB39F" w14:textId="77777777" w:rsidR="00B56A52" w:rsidRPr="00B56A52" w:rsidRDefault="00B56A52" w:rsidP="00B4789D">
      <w:pPr>
        <w:rPr>
          <w:b/>
        </w:rPr>
      </w:pPr>
      <w:r w:rsidRPr="00B56A52">
        <w:rPr>
          <w:b/>
        </w:rPr>
        <w:t>Background and discussion</w:t>
      </w:r>
    </w:p>
    <w:p w14:paraId="7046811F" w14:textId="04F7261B" w:rsidR="00B56A52" w:rsidRDefault="00750C82" w:rsidP="00B4789D">
      <w:r>
        <w:t xml:space="preserve">Nina Vaaja, director of the ACS, presented the ACS’s annual report for the year 2017. The report includes information on the </w:t>
      </w:r>
      <w:r w:rsidR="00E52034">
        <w:t xml:space="preserve">activities of </w:t>
      </w:r>
      <w:r>
        <w:t xml:space="preserve">IPS and the ACAP and EPPR secretariats, all of which are housed within the ACS. She noted that </w:t>
      </w:r>
      <w:r w:rsidR="00E52034">
        <w:t xml:space="preserve">many </w:t>
      </w:r>
      <w:r>
        <w:t xml:space="preserve">ACS staff </w:t>
      </w:r>
      <w:r w:rsidR="00E52034">
        <w:t xml:space="preserve">members have acquired substantial experience, as many are in their second four-year term. </w:t>
      </w:r>
      <w:r>
        <w:t xml:space="preserve">She advised delegates of several staff changes in </w:t>
      </w:r>
      <w:r w:rsidR="00E52034">
        <w:t xml:space="preserve">2017, including the </w:t>
      </w:r>
      <w:r w:rsidR="003D5431">
        <w:t xml:space="preserve">retirement of </w:t>
      </w:r>
      <w:r w:rsidR="00DA5738">
        <w:t xml:space="preserve">previous ACS director </w:t>
      </w:r>
      <w:r w:rsidR="003D5431">
        <w:t>Magnus Johannesson</w:t>
      </w:r>
      <w:r w:rsidR="00DA5738">
        <w:t xml:space="preserve"> </w:t>
      </w:r>
      <w:r w:rsidR="003D5431">
        <w:t xml:space="preserve">and </w:t>
      </w:r>
      <w:r w:rsidR="00A12ACD">
        <w:t xml:space="preserve">the </w:t>
      </w:r>
      <w:r w:rsidR="00E52034">
        <w:t xml:space="preserve">hiring of </w:t>
      </w:r>
      <w:r>
        <w:t xml:space="preserve">Anna Degteva as </w:t>
      </w:r>
      <w:r w:rsidR="006F4159">
        <w:t>e</w:t>
      </w:r>
      <w:r w:rsidR="001F6E51">
        <w:t xml:space="preserve">xecutive </w:t>
      </w:r>
      <w:r w:rsidR="006F4159">
        <w:t>s</w:t>
      </w:r>
      <w:r w:rsidR="001F6E51">
        <w:t xml:space="preserve">ecretary to the IPS, </w:t>
      </w:r>
      <w:r w:rsidR="003D5431">
        <w:t>succe</w:t>
      </w:r>
      <w:r w:rsidR="001F6E51">
        <w:t xml:space="preserve">eding </w:t>
      </w:r>
      <w:r w:rsidR="003D5431">
        <w:t>Elle Merete Omma</w:t>
      </w:r>
      <w:r w:rsidR="001F6E51">
        <w:t xml:space="preserve">. </w:t>
      </w:r>
      <w:r>
        <w:t xml:space="preserve"> </w:t>
      </w:r>
    </w:p>
    <w:p w14:paraId="22268C44" w14:textId="12D3AB44" w:rsidR="003908B9" w:rsidRDefault="00750C82" w:rsidP="00B4789D">
      <w:r>
        <w:t xml:space="preserve">She pointed out that the ACS was well within its budget for 2018, and </w:t>
      </w:r>
      <w:r w:rsidR="00554330">
        <w:t xml:space="preserve">she </w:t>
      </w:r>
      <w:r>
        <w:t>drew attention to a change in the ACS’s c</w:t>
      </w:r>
      <w:r w:rsidR="00E52034">
        <w:t>riteria for revenue recognition</w:t>
      </w:r>
      <w:r>
        <w:t xml:space="preserve"> as recommended by the ACS’s auditor. In 2016 and previous years, States’ contributions were recognized as income on the date of receipt. In 2017 (and henceforth) States’ contributions were recognized as income when used. This means that, for accounting purposes, any unused funds at the end of the year are not presented as a surplus in the ACS accounts, but rather as deferred income – a short-term liability – that the ACS owes to the States. The unused funds thus categorized are transferred to the next year’s budget and deducted from States’ contributions.</w:t>
      </w:r>
    </w:p>
    <w:p w14:paraId="029DEC85" w14:textId="77777777" w:rsidR="00750C82" w:rsidRDefault="00E52034" w:rsidP="00B4789D">
      <w:r>
        <w:t>Looking to the future, s</w:t>
      </w:r>
      <w:r w:rsidR="00750C82">
        <w:t>he highlighted the upcoming move o</w:t>
      </w:r>
      <w:r>
        <w:t xml:space="preserve">f the ACS into its new offices </w:t>
      </w:r>
      <w:r w:rsidR="00750C82">
        <w:t>and welcomed the move of the AMAP secretariat to Tromsø, where it will be co-located with the ACS.</w:t>
      </w:r>
      <w:r w:rsidR="009E21CA">
        <w:t xml:space="preserve"> She also highlighted two open positions at the ACS and asked all delegates for help in publicizing these positions broadly to attract the best possible candidates.</w:t>
      </w:r>
    </w:p>
    <w:p w14:paraId="7F876342" w14:textId="77777777" w:rsidR="00750C82" w:rsidRDefault="00750C82" w:rsidP="00B4789D">
      <w:r>
        <w:lastRenderedPageBreak/>
        <w:t>She thanked: the Government of Norway as hosts; the United States and Finland as Chairs during 2017, with special mention of SAO Chairs David Balton and Aleksi Härkönen; the Kingdom of Denmark, Finland, and Russia for their contribution of seconded staff members; and the United States and Canada for extra financial contributions.</w:t>
      </w:r>
    </w:p>
    <w:p w14:paraId="07F7DCFC" w14:textId="77777777" w:rsidR="009E21CA" w:rsidRDefault="009E21CA" w:rsidP="00B4789D">
      <w:r>
        <w:t>During the discussion that followed, there was general praise for the work done by the ACS in the areas of logistics, coordination, and communications. Several States and PPs noted that only two States contribute financially to the</w:t>
      </w:r>
      <w:r w:rsidR="00226BA8">
        <w:t xml:space="preserve"> regular budget of the</w:t>
      </w:r>
      <w:r>
        <w:t xml:space="preserve"> IPS, and </w:t>
      </w:r>
      <w:r w:rsidR="00554330">
        <w:t xml:space="preserve">they </w:t>
      </w:r>
      <w:r>
        <w:t xml:space="preserve">asked other States to consider supporting the IPS as well. The U.S. asked whether the ACS could provide a “refresher course” in record-keeping procedures, with particular reference to the guidelines for publishing documents from SAO executive meetings. </w:t>
      </w:r>
      <w:r w:rsidR="004F243E">
        <w:t xml:space="preserve">The ACS director replied that the executive meeting documents reports will be kept out of public reach for a period of 20 years, as agreed by the SAOs. </w:t>
      </w:r>
      <w:r>
        <w:t xml:space="preserve">Canada </w:t>
      </w:r>
      <w:r w:rsidR="004F243E">
        <w:t>raised the idea of</w:t>
      </w:r>
      <w:r>
        <w:t xml:space="preserve"> increased capacity at the ACS to support the strategic planning process, and praised the change from a static version of the “Amarok” to an updated SharePoint system.</w:t>
      </w:r>
      <w:r w:rsidR="00A12ACD">
        <w:t xml:space="preserve"> </w:t>
      </w:r>
    </w:p>
    <w:p w14:paraId="4AE55948" w14:textId="77777777" w:rsidR="00B56A52" w:rsidRPr="00B56A52" w:rsidRDefault="00B56A52" w:rsidP="00B4789D">
      <w:pPr>
        <w:rPr>
          <w:b/>
        </w:rPr>
      </w:pPr>
      <w:r w:rsidRPr="00B56A52">
        <w:rPr>
          <w:b/>
        </w:rPr>
        <w:t>Summary / Conclusion</w:t>
      </w:r>
    </w:p>
    <w:p w14:paraId="5B9EFFAA" w14:textId="77777777" w:rsidR="00B56A52" w:rsidRPr="00B56A52" w:rsidRDefault="009E21CA" w:rsidP="00B4789D">
      <w:r>
        <w:t>SAOs took note of the annual report and approved the ACS accounts, financial statements, and auditor’s report.</w:t>
      </w:r>
    </w:p>
    <w:p w14:paraId="7DC2F4CC" w14:textId="77777777" w:rsidR="00B56A52" w:rsidRDefault="00B56A52" w:rsidP="00B56A52"/>
    <w:p w14:paraId="3B36205C" w14:textId="77777777" w:rsidR="00EB7341" w:rsidRDefault="00EB7341" w:rsidP="00EB7341">
      <w:pPr>
        <w:pStyle w:val="Heading1"/>
      </w:pPr>
      <w:r>
        <w:t>4. Update on the Agreement on Enhancing International Arctic Scientific Cooperation (2017)</w:t>
      </w:r>
    </w:p>
    <w:p w14:paraId="268432C7" w14:textId="77777777" w:rsidR="00B56A52" w:rsidRPr="00B56A52" w:rsidRDefault="00B56A52" w:rsidP="00B56A52">
      <w:pPr>
        <w:rPr>
          <w:b/>
        </w:rPr>
      </w:pPr>
      <w:r w:rsidRPr="00B56A52">
        <w:rPr>
          <w:b/>
        </w:rPr>
        <w:t>Background and discussion</w:t>
      </w:r>
    </w:p>
    <w:p w14:paraId="389CCF77" w14:textId="77777777" w:rsidR="00B56A52" w:rsidRDefault="007D347F" w:rsidP="00B56A52">
      <w:r>
        <w:t>Anne Meldgaard of the Kingdom of Denmark provided an update on the status of the scientific cooperation agreement signed at the 10</w:t>
      </w:r>
      <w:r w:rsidRPr="007D347F">
        <w:rPr>
          <w:vertAlign w:val="superscript"/>
        </w:rPr>
        <w:t>th</w:t>
      </w:r>
      <w:r>
        <w:t xml:space="preserve"> Arctic Council Ministerial meeting in Fairbanks, Alaska in 2017. The Kingdom of Denmark is the depositary for the agreement. Seven States have completed their internal procedures, and the remaining State is expected to have its internal procedure completed within a few weeks. The agreement will enter into force one month after the notification has been received from the final State; this should be sometime in May if all proceeds as expected.</w:t>
      </w:r>
      <w:r w:rsidR="00AA65DD">
        <w:t xml:space="preserve"> The Kingdom of Denmark is considering</w:t>
      </w:r>
      <w:r w:rsidR="00296E46">
        <w:t xml:space="preserve"> various</w:t>
      </w:r>
      <w:r w:rsidR="00AA65DD">
        <w:t xml:space="preserve"> options for convening the first meeting in the review process</w:t>
      </w:r>
      <w:r w:rsidR="00296E46">
        <w:t xml:space="preserve">. In </w:t>
      </w:r>
      <w:r w:rsidR="00AA65DD">
        <w:t>accord</w:t>
      </w:r>
      <w:r w:rsidR="00296E46">
        <w:t>ance with the</w:t>
      </w:r>
      <w:r w:rsidR="00AA65DD">
        <w:t xml:space="preserve"> agreement</w:t>
      </w:r>
      <w:r w:rsidR="00296E46">
        <w:t>,</w:t>
      </w:r>
      <w:r w:rsidR="00AA65DD">
        <w:t xml:space="preserve"> </w:t>
      </w:r>
      <w:r w:rsidR="00296E46">
        <w:t xml:space="preserve">such a meeting must </w:t>
      </w:r>
      <w:r w:rsidR="00AA65DD">
        <w:t>take place no later than one year after the agreement has entered into force.</w:t>
      </w:r>
    </w:p>
    <w:p w14:paraId="72CFD388" w14:textId="77777777" w:rsidR="007D347F" w:rsidRDefault="007D347F" w:rsidP="00B56A52">
      <w:r>
        <w:t xml:space="preserve">The Kingdom of Denmark hopes to be able to </w:t>
      </w:r>
      <w:r w:rsidR="00E52034">
        <w:t xml:space="preserve">formally </w:t>
      </w:r>
      <w:r>
        <w:t>announce the entry into force of the agreement at a meeting on 23 May in Ilulissat, Greenland, to celebrate the 10</w:t>
      </w:r>
      <w:r w:rsidR="00554330">
        <w:t>-</w:t>
      </w:r>
      <w:r>
        <w:t xml:space="preserve">year anniversary of the signing of the Ilulissat Declaration. </w:t>
      </w:r>
      <w:r w:rsidR="00554330">
        <w:t>The Kingdom of Denmark</w:t>
      </w:r>
      <w:r w:rsidR="00E52034">
        <w:t xml:space="preserve"> has invited all States and PPs</w:t>
      </w:r>
      <w:r w:rsidR="00554330">
        <w:t xml:space="preserve"> and hopes to secure high-level participation in order to demonstrate the States’ continued commitment to peaceful cooperation in the Arctic.</w:t>
      </w:r>
    </w:p>
    <w:p w14:paraId="29F2F74D" w14:textId="77777777" w:rsidR="00B56A52" w:rsidRPr="00B56A52" w:rsidRDefault="00B56A52" w:rsidP="00B56A52">
      <w:pPr>
        <w:rPr>
          <w:b/>
        </w:rPr>
      </w:pPr>
      <w:r w:rsidRPr="00B56A52">
        <w:rPr>
          <w:b/>
        </w:rPr>
        <w:lastRenderedPageBreak/>
        <w:t>Summary / Conclusion</w:t>
      </w:r>
    </w:p>
    <w:p w14:paraId="69061837" w14:textId="77777777" w:rsidR="00B56A52" w:rsidRPr="00B56A52" w:rsidRDefault="00554330" w:rsidP="00B56A52">
      <w:r>
        <w:t>This item was for information.</w:t>
      </w:r>
    </w:p>
    <w:p w14:paraId="29DBEE9E" w14:textId="77777777" w:rsidR="006D58F7" w:rsidRDefault="006D58F7" w:rsidP="006D58F7"/>
    <w:p w14:paraId="755DE7CE" w14:textId="77777777" w:rsidR="00B4789D" w:rsidRDefault="0003073E" w:rsidP="00B4789D">
      <w:pPr>
        <w:pStyle w:val="Heading1"/>
      </w:pPr>
      <w:r>
        <w:t>5</w:t>
      </w:r>
      <w:r w:rsidR="00B4789D">
        <w:t>. Thematic discussion: meteorological cooperation</w:t>
      </w:r>
    </w:p>
    <w:p w14:paraId="2E92C3D2" w14:textId="77777777" w:rsidR="00B56A52" w:rsidRPr="00B56A52" w:rsidRDefault="00B56A52" w:rsidP="00B56A52">
      <w:pPr>
        <w:rPr>
          <w:b/>
        </w:rPr>
      </w:pPr>
      <w:r w:rsidRPr="00B56A52">
        <w:rPr>
          <w:b/>
        </w:rPr>
        <w:t>Background and discussion</w:t>
      </w:r>
    </w:p>
    <w:p w14:paraId="4F6F1E0A" w14:textId="77777777" w:rsidR="00B07E14" w:rsidRDefault="00B07E14" w:rsidP="00B07E14">
      <w:r w:rsidRPr="0034702C">
        <w:t xml:space="preserve">Presenters for this agenda point </w:t>
      </w:r>
      <w:r>
        <w:t>were as follows.</w:t>
      </w:r>
    </w:p>
    <w:p w14:paraId="74E03BCC" w14:textId="77777777" w:rsidR="00B07E14" w:rsidRDefault="00B07E14" w:rsidP="00B07E14">
      <w:pPr>
        <w:pStyle w:val="ListParagraph"/>
        <w:numPr>
          <w:ilvl w:val="0"/>
          <w:numId w:val="20"/>
        </w:numPr>
        <w:spacing w:after="0"/>
      </w:pPr>
      <w:r>
        <w:t>David Grimes, President, World Meteorological Organization</w:t>
      </w:r>
    </w:p>
    <w:p w14:paraId="5962FCF7" w14:textId="77777777" w:rsidR="00B07E14" w:rsidRDefault="00B07E14" w:rsidP="00B07E14">
      <w:pPr>
        <w:pStyle w:val="ListParagraph"/>
        <w:numPr>
          <w:ilvl w:val="0"/>
          <w:numId w:val="20"/>
        </w:numPr>
        <w:spacing w:after="0"/>
      </w:pPr>
      <w:r>
        <w:t>Wenjian Zhang, Assistant Secretary-General, World Meteorological Organization</w:t>
      </w:r>
    </w:p>
    <w:p w14:paraId="458F734F" w14:textId="77777777" w:rsidR="00FC3F85" w:rsidRDefault="00FC3F85" w:rsidP="00B07E14">
      <w:pPr>
        <w:pStyle w:val="ListParagraph"/>
        <w:numPr>
          <w:ilvl w:val="0"/>
          <w:numId w:val="20"/>
        </w:numPr>
        <w:spacing w:after="0"/>
      </w:pPr>
      <w:r>
        <w:t>Juhani Damski, Director General, Finnish Meteorological Institute</w:t>
      </w:r>
    </w:p>
    <w:p w14:paraId="2B4786E6" w14:textId="77777777" w:rsidR="00FC3F85" w:rsidRDefault="00FC3F85" w:rsidP="00B07E14">
      <w:pPr>
        <w:pStyle w:val="ListParagraph"/>
        <w:numPr>
          <w:ilvl w:val="0"/>
          <w:numId w:val="20"/>
        </w:numPr>
        <w:spacing w:after="0"/>
      </w:pPr>
      <w:r>
        <w:t>Árni Snorrason, Director General, Icelandic Meteorological Office</w:t>
      </w:r>
    </w:p>
    <w:p w14:paraId="720F004A" w14:textId="77777777" w:rsidR="00FC3F85" w:rsidRDefault="00FC3F85" w:rsidP="00B07E14">
      <w:pPr>
        <w:pStyle w:val="ListParagraph"/>
        <w:numPr>
          <w:ilvl w:val="0"/>
          <w:numId w:val="20"/>
        </w:numPr>
        <w:spacing w:after="0"/>
      </w:pPr>
      <w:r>
        <w:t>Aleksandr Makarov, Director, Roshydromet Arctic and Antarctic Research Institute</w:t>
      </w:r>
    </w:p>
    <w:p w14:paraId="448B15D0" w14:textId="77777777" w:rsidR="00B07E14" w:rsidRPr="0034702C" w:rsidRDefault="00FC3F85" w:rsidP="00B07E14">
      <w:pPr>
        <w:pStyle w:val="ListParagraph"/>
        <w:numPr>
          <w:ilvl w:val="0"/>
          <w:numId w:val="20"/>
        </w:numPr>
      </w:pPr>
      <w:r>
        <w:t>Marianne Kroglund, Chair, AMAP</w:t>
      </w:r>
      <w:r w:rsidR="00B07E14">
        <w:t xml:space="preserve"> </w:t>
      </w:r>
    </w:p>
    <w:p w14:paraId="26D09B04" w14:textId="77777777" w:rsidR="006F76C6" w:rsidRDefault="008B7600" w:rsidP="00B56A52">
      <w:r>
        <w:t>President of the WMO David Grimes</w:t>
      </w:r>
      <w:r w:rsidR="00B56A52" w:rsidRPr="00B56A52">
        <w:t xml:space="preserve"> opened the discussion. He described the context in which the Arctic Council, the WMO, and the national meteorological institutes can increase their collaboration, and drew attention to the WMO as part of a </w:t>
      </w:r>
      <w:r>
        <w:t xml:space="preserve">broad </w:t>
      </w:r>
      <w:r w:rsidR="00B56A52" w:rsidRPr="00B56A52">
        <w:t xml:space="preserve">community of institutes </w:t>
      </w:r>
      <w:r>
        <w:t>engaged in</w:t>
      </w:r>
      <w:r w:rsidR="00B56A52" w:rsidRPr="00B56A52">
        <w:t xml:space="preserve"> meteorological research and </w:t>
      </w:r>
      <w:r>
        <w:t xml:space="preserve">related </w:t>
      </w:r>
      <w:r w:rsidR="00B56A52" w:rsidRPr="00B56A52">
        <w:t>work. The WMO as an Arctic Council Observer and partner thus serves as a gateway to many different resources.</w:t>
      </w:r>
      <w:r w:rsidR="006F76C6">
        <w:t xml:space="preserve"> He also pointed out the need for improvements in the observational networks in the Arctic. </w:t>
      </w:r>
      <w:r w:rsidR="009258E8">
        <w:t xml:space="preserve">Assistant Secretary-General </w:t>
      </w:r>
      <w:r w:rsidR="00510E6B">
        <w:t>Wenjian Zhang highlighted the role of</w:t>
      </w:r>
      <w:r w:rsidR="006F76C6">
        <w:t xml:space="preserve"> the</w:t>
      </w:r>
      <w:r w:rsidR="00510E6B">
        <w:t xml:space="preserve"> WMO in improving quantitative prediction of climate change in the Arctic and </w:t>
      </w:r>
      <w:r w:rsidR="006F76C6">
        <w:t>the</w:t>
      </w:r>
      <w:r w:rsidR="00510E6B">
        <w:t xml:space="preserve"> global implications</w:t>
      </w:r>
      <w:r w:rsidR="006F76C6">
        <w:t xml:space="preserve"> of this change</w:t>
      </w:r>
      <w:r w:rsidR="00F15A05">
        <w:t>.</w:t>
      </w:r>
    </w:p>
    <w:p w14:paraId="2BD7A2C0" w14:textId="72237F89" w:rsidR="00886BEA" w:rsidRDefault="00440B37" w:rsidP="00886BEA">
      <w:r>
        <w:t>T</w:t>
      </w:r>
      <w:r w:rsidR="00B56A52" w:rsidRPr="00B56A52">
        <w:t xml:space="preserve">he </w:t>
      </w:r>
      <w:r w:rsidR="009258E8">
        <w:t xml:space="preserve">representatives of </w:t>
      </w:r>
      <w:r w:rsidR="00B56A52" w:rsidRPr="00B56A52">
        <w:t xml:space="preserve">national meteorological institutes of </w:t>
      </w:r>
      <w:r w:rsidR="008B7600">
        <w:t>Finland, Iceland, and Russia</w:t>
      </w:r>
      <w:r w:rsidR="001F6E51">
        <w:t>n Federation</w:t>
      </w:r>
      <w:r w:rsidR="00B56A52" w:rsidRPr="00B56A52">
        <w:t xml:space="preserve"> </w:t>
      </w:r>
      <w:r w:rsidR="00FC3F85">
        <w:t>presented</w:t>
      </w:r>
      <w:r w:rsidR="00B56A52" w:rsidRPr="00B56A52">
        <w:t xml:space="preserve"> the capabilities of their own institutes</w:t>
      </w:r>
      <w:r w:rsidR="006F76C6">
        <w:t xml:space="preserve"> in</w:t>
      </w:r>
      <w:r w:rsidR="00F96DBE">
        <w:t xml:space="preserve"> e.g. </w:t>
      </w:r>
      <w:r w:rsidR="006F76C6">
        <w:t xml:space="preserve">providing meteorological observations, modeling </w:t>
      </w:r>
      <w:r w:rsidR="00F96DBE">
        <w:t>the</w:t>
      </w:r>
      <w:r w:rsidR="006F76C6">
        <w:t xml:space="preserve"> dispersion of pollutants</w:t>
      </w:r>
      <w:r w:rsidR="00563863">
        <w:t>,</w:t>
      </w:r>
      <w:r w:rsidR="006F76C6">
        <w:t xml:space="preserve"> and improving understanding about the </w:t>
      </w:r>
      <w:r w:rsidR="00F96DBE">
        <w:t xml:space="preserve">Earth’s </w:t>
      </w:r>
      <w:r w:rsidR="006F76C6">
        <w:t>climate system. They</w:t>
      </w:r>
      <w:r w:rsidR="00B56A52" w:rsidRPr="00B56A52">
        <w:t xml:space="preserve"> </w:t>
      </w:r>
      <w:r w:rsidR="00FC3F85">
        <w:t xml:space="preserve">highlighted </w:t>
      </w:r>
      <w:r w:rsidR="00F96DBE">
        <w:t xml:space="preserve">the need for sustained </w:t>
      </w:r>
      <w:r w:rsidR="00B01CD8">
        <w:t xml:space="preserve">international </w:t>
      </w:r>
      <w:r w:rsidR="00F96DBE">
        <w:t>cooperation and mentioned valuable initiatives such as the WMO’s Polar Regional Climate Center and Year of Polar Prediction</w:t>
      </w:r>
      <w:r w:rsidR="00F96DBE" w:rsidRPr="00886BEA">
        <w:t>.</w:t>
      </w:r>
      <w:r w:rsidR="00B56A52" w:rsidRPr="00886BEA">
        <w:t xml:space="preserve"> </w:t>
      </w:r>
      <w:r w:rsidR="00F96DBE" w:rsidRPr="00886BEA">
        <w:t>Enhanced satellite observations, especially High</w:t>
      </w:r>
      <w:r w:rsidR="00563863">
        <w:t>ly</w:t>
      </w:r>
      <w:r w:rsidR="00F96DBE" w:rsidRPr="00886BEA">
        <w:t xml:space="preserve"> Elliptical Orbit </w:t>
      </w:r>
      <w:r w:rsidR="00563863">
        <w:t xml:space="preserve">(HEO) </w:t>
      </w:r>
      <w:r w:rsidR="00F96DBE" w:rsidRPr="00886BEA">
        <w:t>missions were found as a potential tool to improve</w:t>
      </w:r>
      <w:r w:rsidR="00B01CD8" w:rsidRPr="00886BEA">
        <w:t xml:space="preserve"> the</w:t>
      </w:r>
      <w:r w:rsidR="00F96DBE" w:rsidRPr="00886BEA">
        <w:t xml:space="preserve"> collection of much-needed data in the Arctic.</w:t>
      </w:r>
      <w:r w:rsidR="00886BEA" w:rsidRPr="00886BEA">
        <w:t xml:space="preserve"> Director General of the Finnish Meteorological Institute </w:t>
      </w:r>
      <w:r w:rsidR="00563863">
        <w:t>Prof</w:t>
      </w:r>
      <w:r w:rsidR="00886BEA" w:rsidRPr="00886BEA">
        <w:t>. Juhani Damski urged joint investments in HEO satellites to improve the capability to monitor the Arctic as a whole.</w:t>
      </w:r>
    </w:p>
    <w:p w14:paraId="0A8B5F5E" w14:textId="77777777" w:rsidR="00B56A52" w:rsidRPr="00B56A52" w:rsidRDefault="00B56A52" w:rsidP="00B56A52">
      <w:r w:rsidRPr="00B56A52">
        <w:t>The</w:t>
      </w:r>
      <w:r w:rsidR="00F96DBE">
        <w:t xml:space="preserve"> experts</w:t>
      </w:r>
      <w:r w:rsidRPr="00B56A52">
        <w:t xml:space="preserve"> </w:t>
      </w:r>
      <w:r w:rsidR="00F96DBE">
        <w:t xml:space="preserve">pointed out the </w:t>
      </w:r>
      <w:r w:rsidRPr="00B56A52">
        <w:t>potential role of the Arctic Council as an end user of the data and services</w:t>
      </w:r>
      <w:r w:rsidR="008B7600">
        <w:t xml:space="preserve"> that could</w:t>
      </w:r>
      <w:r w:rsidRPr="00B56A52">
        <w:t xml:space="preserve"> help in meaningful ways to set the strategic direction for the national met</w:t>
      </w:r>
      <w:r w:rsidR="008B7600">
        <w:t>eorological</w:t>
      </w:r>
      <w:r w:rsidRPr="00B56A52">
        <w:t xml:space="preserve"> institutes’ work in the Arctic</w:t>
      </w:r>
      <w:r w:rsidR="009258E8">
        <w:t>.</w:t>
      </w:r>
    </w:p>
    <w:p w14:paraId="1FD654CB" w14:textId="77777777" w:rsidR="00B56A52" w:rsidRPr="00B56A52" w:rsidRDefault="00B56A52" w:rsidP="00B56A52">
      <w:r w:rsidRPr="00B56A52">
        <w:lastRenderedPageBreak/>
        <w:t>Marianne Kroglund, Chair of AMAP</w:t>
      </w:r>
      <w:r w:rsidR="00732805">
        <w:t>,</w:t>
      </w:r>
      <w:r w:rsidRPr="00B56A52">
        <w:t xml:space="preserve"> provided a summary of the </w:t>
      </w:r>
      <w:r w:rsidR="004056B1">
        <w:t>discussion</w:t>
      </w:r>
      <w:r w:rsidRPr="00B56A52">
        <w:t xml:space="preserve"> between Working Groups, the WMO, and national meteorological institutes that took place on </w:t>
      </w:r>
      <w:r w:rsidR="00732805">
        <w:t>the previous day.</w:t>
      </w:r>
      <w:r w:rsidRPr="00B56A52">
        <w:t xml:space="preserve"> She brought up </w:t>
      </w:r>
      <w:r w:rsidR="00732805">
        <w:t>t</w:t>
      </w:r>
      <w:r w:rsidRPr="00B56A52">
        <w:t>he wide variety of needs that th</w:t>
      </w:r>
      <w:r w:rsidR="008B7600">
        <w:t>e different Working Groups have</w:t>
      </w:r>
      <w:r w:rsidRPr="00B56A52">
        <w:t xml:space="preserve"> and the value of meteorological </w:t>
      </w:r>
      <w:r w:rsidR="001E2D50">
        <w:t>data</w:t>
      </w:r>
      <w:r w:rsidRPr="00B56A52">
        <w:t xml:space="preserve"> and services as a foundational element of the work that goes on in each Working Group. </w:t>
      </w:r>
      <w:r w:rsidR="00123E77">
        <w:t xml:space="preserve">Ms. Kroglund </w:t>
      </w:r>
      <w:r w:rsidRPr="00B56A52">
        <w:t xml:space="preserve">pointed out the need for both short-term forecasting and improved climate modeling, and </w:t>
      </w:r>
      <w:r w:rsidR="00554330">
        <w:t xml:space="preserve">she </w:t>
      </w:r>
      <w:r w:rsidRPr="00B56A52">
        <w:t xml:space="preserve">reviewed the numerous different ways in which the </w:t>
      </w:r>
      <w:r w:rsidR="00C64DE7">
        <w:t xml:space="preserve">meteorological expert organizations and the Arctic Council Working Groups </w:t>
      </w:r>
      <w:r w:rsidRPr="00B56A52">
        <w:t>could be of service to one another.</w:t>
      </w:r>
      <w:r w:rsidR="00F96DBE">
        <w:t xml:space="preserve"> She mentioned</w:t>
      </w:r>
      <w:r w:rsidR="00563863">
        <w:t>,</w:t>
      </w:r>
      <w:r w:rsidR="00B01CD8">
        <w:t xml:space="preserve"> </w:t>
      </w:r>
      <w:r w:rsidR="00563863">
        <w:t>inter alia,</w:t>
      </w:r>
      <w:r w:rsidR="00F96DBE">
        <w:t xml:space="preserve"> risk management and adaptation to climate change as a potential area of </w:t>
      </w:r>
      <w:r w:rsidR="00B01CD8">
        <w:t>valuable</w:t>
      </w:r>
      <w:r w:rsidR="00F96DBE">
        <w:t xml:space="preserve"> cooperation</w:t>
      </w:r>
      <w:r w:rsidR="00B01CD8">
        <w:t>, as well as ice and biodiversity monitoring, and understanding drift and dispersion in SAR activities and oil spill response</w:t>
      </w:r>
      <w:r w:rsidR="00F96DBE">
        <w:t>.</w:t>
      </w:r>
      <w:r w:rsidR="00B01CD8">
        <w:t xml:space="preserve"> </w:t>
      </w:r>
      <w:r w:rsidR="0071517C">
        <w:t xml:space="preserve">The AMAP Chair </w:t>
      </w:r>
      <w:r w:rsidR="00B01CD8">
        <w:t>also noted tha</w:t>
      </w:r>
      <w:r w:rsidR="004056B1">
        <w:t>t</w:t>
      </w:r>
      <w:r w:rsidR="00563863">
        <w:t>, on</w:t>
      </w:r>
      <w:r w:rsidR="00B01CD8">
        <w:t xml:space="preserve"> some occasions</w:t>
      </w:r>
      <w:r w:rsidR="00563863">
        <w:t>,</w:t>
      </w:r>
      <w:r w:rsidR="00B01CD8">
        <w:t xml:space="preserve"> there is </w:t>
      </w:r>
      <w:r w:rsidR="00563863">
        <w:t xml:space="preserve">a </w:t>
      </w:r>
      <w:r w:rsidR="00B01CD8">
        <w:t xml:space="preserve">lot of data, but </w:t>
      </w:r>
      <w:r w:rsidR="004056B1">
        <w:t xml:space="preserve">it is difficult to </w:t>
      </w:r>
      <w:r w:rsidR="00B01CD8">
        <w:t>access. On the other hand, there are gaps in data collection.</w:t>
      </w:r>
      <w:r w:rsidRPr="00B56A52">
        <w:t xml:space="preserve"> </w:t>
      </w:r>
      <w:r w:rsidR="00B01CD8">
        <w:t>S</w:t>
      </w:r>
      <w:r w:rsidRPr="00B56A52">
        <w:t>everal concrete outcomes emerged</w:t>
      </w:r>
      <w:r w:rsidR="00B01CD8">
        <w:t xml:space="preserve"> from the previous day’s meeting</w:t>
      </w:r>
      <w:r w:rsidRPr="00B56A52">
        <w:t xml:space="preserve">. </w:t>
      </w:r>
    </w:p>
    <w:p w14:paraId="7C7FB9B2" w14:textId="77777777" w:rsidR="00B56A52" w:rsidRPr="00B56A52" w:rsidRDefault="00B56A52" w:rsidP="008B7600">
      <w:pPr>
        <w:pStyle w:val="ListParagraph"/>
        <w:numPr>
          <w:ilvl w:val="0"/>
          <w:numId w:val="19"/>
        </w:numPr>
      </w:pPr>
      <w:r w:rsidRPr="00B56A52">
        <w:t>Points of contact have been identified for this line of work for the Working Groups, national meteorological institutes, and the WMO.</w:t>
      </w:r>
    </w:p>
    <w:p w14:paraId="4B03EC95" w14:textId="77777777" w:rsidR="00B56A52" w:rsidRPr="00B56A52" w:rsidRDefault="00B56A52" w:rsidP="008B7600">
      <w:pPr>
        <w:pStyle w:val="ListParagraph"/>
        <w:numPr>
          <w:ilvl w:val="0"/>
          <w:numId w:val="19"/>
        </w:numPr>
      </w:pPr>
      <w:r w:rsidRPr="00B56A52">
        <w:t>The Working Groups have issued invitations to their upcoming meetings to all the institutes in question.</w:t>
      </w:r>
    </w:p>
    <w:p w14:paraId="7097E0F9" w14:textId="77777777" w:rsidR="00B56A52" w:rsidRPr="00B56A52" w:rsidRDefault="00B56A52" w:rsidP="008B7600">
      <w:pPr>
        <w:pStyle w:val="ListParagraph"/>
        <w:numPr>
          <w:ilvl w:val="0"/>
          <w:numId w:val="19"/>
        </w:numPr>
      </w:pPr>
      <w:r w:rsidRPr="00B56A52">
        <w:t>AMAP has decided to include meteorological cooperation as a fixed element of its future work.</w:t>
      </w:r>
    </w:p>
    <w:p w14:paraId="0D9EB04A" w14:textId="12239CEF" w:rsidR="00B56A52" w:rsidRPr="00B56A52" w:rsidRDefault="00B56A52" w:rsidP="00B56A52">
      <w:r w:rsidRPr="00B56A52">
        <w:t>During the discussion that followed, the S</w:t>
      </w:r>
      <w:r w:rsidR="0041718C">
        <w:t>AOs</w:t>
      </w:r>
      <w:r w:rsidRPr="00B56A52">
        <w:t xml:space="preserve"> were unanimous in their support for enhancing collaboration on these important issues.</w:t>
      </w:r>
      <w:r w:rsidR="00B01FD6">
        <w:t xml:space="preserve"> </w:t>
      </w:r>
      <w:r w:rsidR="00B01CD8">
        <w:t>It was noted that</w:t>
      </w:r>
      <w:r w:rsidR="00563863">
        <w:t>,</w:t>
      </w:r>
      <w:r w:rsidR="00B01CD8">
        <w:t xml:space="preserve"> in order to respon</w:t>
      </w:r>
      <w:r w:rsidR="00D96859">
        <w:t>d</w:t>
      </w:r>
      <w:r w:rsidR="00B01CD8">
        <w:t xml:space="preserve"> to the challenge of climate change, we need </w:t>
      </w:r>
      <w:r w:rsidR="00D96859">
        <w:t>accelerate our common work</w:t>
      </w:r>
      <w:r w:rsidR="00B01CD8">
        <w:t xml:space="preserve">. </w:t>
      </w:r>
      <w:r w:rsidR="00E0690B">
        <w:t xml:space="preserve">Many emphasized the need to improve the observational networks in the Arctic. </w:t>
      </w:r>
      <w:r w:rsidR="00B01FD6">
        <w:t>Several</w:t>
      </w:r>
      <w:r w:rsidRPr="00B56A52">
        <w:t xml:space="preserve"> PPs highlighted the importance of including ground-based monitoring in plans for the future, and </w:t>
      </w:r>
      <w:r w:rsidR="008B7600">
        <w:t xml:space="preserve">of avoiding </w:t>
      </w:r>
      <w:r w:rsidRPr="00B56A52">
        <w:t xml:space="preserve">reliance on </w:t>
      </w:r>
      <w:r w:rsidR="00E64BA5">
        <w:t xml:space="preserve">solely </w:t>
      </w:r>
      <w:r w:rsidRPr="00B56A52">
        <w:t xml:space="preserve">remote and satellite-based sensing. </w:t>
      </w:r>
      <w:r w:rsidR="00E0690B">
        <w:t xml:space="preserve">The PPs also raised their concerns about the possible negative effects of climate change </w:t>
      </w:r>
      <w:r w:rsidR="00563863">
        <w:t>on</w:t>
      </w:r>
      <w:r w:rsidR="00E0690B">
        <w:t xml:space="preserve"> freshwater resources in the Arctic.</w:t>
      </w:r>
    </w:p>
    <w:p w14:paraId="1BDDB5DE" w14:textId="77777777" w:rsidR="00B56A52" w:rsidRPr="00B56A52" w:rsidRDefault="00B56A52" w:rsidP="00B56A52">
      <w:pPr>
        <w:rPr>
          <w:b/>
        </w:rPr>
      </w:pPr>
      <w:r w:rsidRPr="00B56A52">
        <w:rPr>
          <w:b/>
        </w:rPr>
        <w:t>Summary / Conclusion</w:t>
      </w:r>
    </w:p>
    <w:p w14:paraId="2396B4DB" w14:textId="77777777" w:rsidR="00B56A52" w:rsidRPr="00B56A52" w:rsidRDefault="008B7600" w:rsidP="00B56A52">
      <w:r>
        <w:t xml:space="preserve">This item was for discussion. The SAOC </w:t>
      </w:r>
      <w:r w:rsidR="00B15392">
        <w:t>thanked the participants</w:t>
      </w:r>
      <w:r w:rsidR="00E0690B">
        <w:t xml:space="preserve"> for their inputs </w:t>
      </w:r>
      <w:r w:rsidR="00B15392">
        <w:t xml:space="preserve">and </w:t>
      </w:r>
      <w:r w:rsidR="00E0690B">
        <w:t>expressed gratitude to the Finnish Meteorological Institute and the WMO for organizing the week of meteorological events back</w:t>
      </w:r>
      <w:r w:rsidR="00563863">
        <w:t>-</w:t>
      </w:r>
      <w:r w:rsidR="00E0690B">
        <w:t>to</w:t>
      </w:r>
      <w:r w:rsidR="00563863">
        <w:t>-</w:t>
      </w:r>
      <w:r w:rsidR="00E0690B">
        <w:t xml:space="preserve">back with the Arctic Council events in Levi. He stressed </w:t>
      </w:r>
      <w:r>
        <w:t xml:space="preserve">the </w:t>
      </w:r>
      <w:r w:rsidR="00982205">
        <w:t>future-oriented character</w:t>
      </w:r>
      <w:r>
        <w:t xml:space="preserve"> of the </w:t>
      </w:r>
      <w:r w:rsidR="00982205">
        <w:t>discussions</w:t>
      </w:r>
      <w:r>
        <w:t xml:space="preserve"> and pointed out that meteorological work is</w:t>
      </w:r>
      <w:r w:rsidR="00B15392">
        <w:t xml:space="preserve"> increasingly </w:t>
      </w:r>
      <w:r>
        <w:t xml:space="preserve">connected </w:t>
      </w:r>
      <w:r w:rsidR="00B15392">
        <w:t>to the work of the Arctic Council and its Working Groups.</w:t>
      </w:r>
      <w:r w:rsidR="00F15A05">
        <w:t xml:space="preserve"> The SAOC also thanked AMAP for its active role in advancing the u</w:t>
      </w:r>
      <w:r w:rsidR="00563863">
        <w:t>se</w:t>
      </w:r>
      <w:r w:rsidR="00F15A05">
        <w:t xml:space="preserve"> of meteorological expertise in the work of the Arctic Council.</w:t>
      </w:r>
    </w:p>
    <w:p w14:paraId="67A4F9AB" w14:textId="77777777" w:rsidR="00F707DB" w:rsidRDefault="00F707DB" w:rsidP="00F707DB"/>
    <w:p w14:paraId="793CDDEF" w14:textId="77777777" w:rsidR="003908B9" w:rsidRDefault="003908B9">
      <w:pPr>
        <w:spacing w:after="0"/>
        <w:rPr>
          <w:rFonts w:asciiTheme="majorHAnsi" w:eastAsiaTheme="majorEastAsia" w:hAnsiTheme="majorHAnsi" w:cstheme="majorBidi"/>
          <w:color w:val="1F3864" w:themeColor="accent1" w:themeShade="80"/>
          <w:sz w:val="44"/>
          <w:szCs w:val="32"/>
        </w:rPr>
      </w:pPr>
      <w:r>
        <w:br w:type="page"/>
      </w:r>
    </w:p>
    <w:p w14:paraId="3F0AF33B" w14:textId="5D5DF996" w:rsidR="0025543B" w:rsidRDefault="0003073E" w:rsidP="0025543B">
      <w:pPr>
        <w:pStyle w:val="Heading1"/>
      </w:pPr>
      <w:r>
        <w:lastRenderedPageBreak/>
        <w:t>6</w:t>
      </w:r>
      <w:r w:rsidR="0025543B">
        <w:t>. The SDGs in Arctic cooperation</w:t>
      </w:r>
    </w:p>
    <w:p w14:paraId="2221FDAB" w14:textId="77777777" w:rsidR="00F707DB" w:rsidRPr="00B56A52" w:rsidRDefault="00F707DB" w:rsidP="00F707DB">
      <w:pPr>
        <w:rPr>
          <w:b/>
        </w:rPr>
      </w:pPr>
      <w:r w:rsidRPr="00B56A52">
        <w:rPr>
          <w:b/>
        </w:rPr>
        <w:t>Background and discussion</w:t>
      </w:r>
    </w:p>
    <w:p w14:paraId="0D0D5DCB" w14:textId="77777777" w:rsidR="00F707DB" w:rsidRDefault="006B1258" w:rsidP="00F707DB">
      <w:r>
        <w:t>Under this agenda point, delegates took up the question of how the Su</w:t>
      </w:r>
      <w:r w:rsidR="006B36FA">
        <w:t>stainable Development Goals (SDGs)</w:t>
      </w:r>
      <w:r>
        <w:t xml:space="preserve"> tie in to the work of the Arctic Council. They also heard about two events held since the SAO meeting </w:t>
      </w:r>
      <w:r w:rsidR="0096474A">
        <w:t xml:space="preserve">in October 2017 </w:t>
      </w:r>
      <w:r>
        <w:t>that addressed thi</w:t>
      </w:r>
      <w:r w:rsidR="006B36FA">
        <w:t>s particular theme</w:t>
      </w:r>
      <w:r>
        <w:t>.</w:t>
      </w:r>
    </w:p>
    <w:p w14:paraId="54D3F1F6" w14:textId="2F1B0FFD" w:rsidR="003D40F1" w:rsidRDefault="003D40F1" w:rsidP="00F707DB">
      <w:r>
        <w:t>The SDWG Chair began by pointing out that promoting sustainable development in the Arctic has been the core of the Arctic Council’s mandate since its establishment, and that – while implementation of the SDGs is the responsibility of individual States – the SDGs and Agenda 2030 can give added momentum to the Council’s work on sustainable development in the Arctic. Indeed, SDWG has asked its social, economic, and cultural expert group (SECEG) to analyze how Agenda 2030 and the SDGs could best be</w:t>
      </w:r>
      <w:r w:rsidR="006F4159">
        <w:t xml:space="preserve"> utilized</w:t>
      </w:r>
      <w:r>
        <w:t xml:space="preserve"> for the benefit of the Arctic. </w:t>
      </w:r>
    </w:p>
    <w:p w14:paraId="61F65391" w14:textId="77777777" w:rsidR="002148C1" w:rsidRDefault="003D40F1" w:rsidP="00F707DB">
      <w:r>
        <w:t xml:space="preserve">Timo Koivurova of </w:t>
      </w:r>
      <w:r w:rsidR="002148C1">
        <w:t xml:space="preserve">the SECEG followed with </w:t>
      </w:r>
      <w:r w:rsidR="006B36FA">
        <w:t xml:space="preserve">an </w:t>
      </w:r>
      <w:r w:rsidR="002148C1">
        <w:t xml:space="preserve">examination of how the Arctic Council could support the </w:t>
      </w:r>
      <w:r w:rsidR="006B36FA">
        <w:t>attainment</w:t>
      </w:r>
      <w:r w:rsidR="002148C1">
        <w:t xml:space="preserve"> of the SDGs</w:t>
      </w:r>
      <w:r w:rsidR="006B36FA">
        <w:t xml:space="preserve"> in the Arctic</w:t>
      </w:r>
      <w:r w:rsidR="002148C1">
        <w:t xml:space="preserve">. He focused on how the Council could catalyze </w:t>
      </w:r>
      <w:r w:rsidR="0096474A">
        <w:t xml:space="preserve">the </w:t>
      </w:r>
      <w:r w:rsidR="002148C1">
        <w:t xml:space="preserve">research </w:t>
      </w:r>
      <w:r w:rsidR="0096474A">
        <w:t>that is needed to achieve that goal, citing</w:t>
      </w:r>
      <w:r w:rsidR="002148C1">
        <w:t xml:space="preserve"> for example the possibility of identifying how </w:t>
      </w:r>
      <w:r w:rsidR="00EA2D8E">
        <w:t>the Council’s</w:t>
      </w:r>
      <w:r w:rsidR="002148C1">
        <w:t xml:space="preserve"> existing initiatives already contribute</w:t>
      </w:r>
      <w:r w:rsidR="00F23C0E">
        <w:t xml:space="preserve"> to the SDGs.</w:t>
      </w:r>
      <w:r w:rsidR="002148C1">
        <w:t xml:space="preserve"> He </w:t>
      </w:r>
      <w:r w:rsidR="00F23C0E">
        <w:t>also</w:t>
      </w:r>
      <w:r w:rsidR="002148C1">
        <w:t xml:space="preserve"> highlighted the SDGs as </w:t>
      </w:r>
      <w:r w:rsidR="00DB7D26">
        <w:t xml:space="preserve">a vehicle </w:t>
      </w:r>
      <w:r w:rsidR="002148C1">
        <w:t>to raise Arctic issues in a global context.</w:t>
      </w:r>
    </w:p>
    <w:p w14:paraId="41F0BC6A" w14:textId="77777777" w:rsidR="002148C1" w:rsidRDefault="002148C1" w:rsidP="00F707DB">
      <w:r>
        <w:t>Mr. Koivurova brought out several key messages that emerged from the Rovaniemi Arctic Spirit conference (November 2017). He highlighted the centrality of Arctic indigenous peoples in all the discussions that took place there, especially in discussions about</w:t>
      </w:r>
      <w:r w:rsidR="0096474A">
        <w:t xml:space="preserve"> such</w:t>
      </w:r>
      <w:r>
        <w:t xml:space="preserve"> challenging issues as land use and inclusion in decision-making. He also noted that many participants emphasized the role that town</w:t>
      </w:r>
      <w:r w:rsidR="0096474A">
        <w:t xml:space="preserve">s and cities </w:t>
      </w:r>
      <w:r>
        <w:t>play in supporting sustainable development in the Arctic.</w:t>
      </w:r>
    </w:p>
    <w:p w14:paraId="4B790713" w14:textId="77777777" w:rsidR="002148C1" w:rsidRDefault="000E4B9C" w:rsidP="00F707DB">
      <w:r>
        <w:t>Anne Meldgaard of t</w:t>
      </w:r>
      <w:r w:rsidR="002148C1">
        <w:t xml:space="preserve">he Kingdom of Denmark reviewed the event “SDGs in the Arctic: local and global perspectives” held in Copenhagen in December 2017. </w:t>
      </w:r>
      <w:r>
        <w:t xml:space="preserve">The main theme was </w:t>
      </w:r>
      <w:r w:rsidR="00227C9D">
        <w:t>sustainable</w:t>
      </w:r>
      <w:r>
        <w:t xml:space="preserve"> economic development in the Arctic region, and Ms. Meldgaard </w:t>
      </w:r>
      <w:r w:rsidR="007654C7">
        <w:t>presented</w:t>
      </w:r>
      <w:r>
        <w:t xml:space="preserve"> a couple of key examples of sustainable economic development in practice from Greenland and the Faroe Islands. One major conclusion to emerge from the event was that the SDGs have a great deal to offer in an Arctic setting, especially as guides for the Council’s strategic work, and </w:t>
      </w:r>
      <w:r w:rsidR="00563863">
        <w:t xml:space="preserve">Ms. Meldgaard </w:t>
      </w:r>
      <w:r>
        <w:t>pointed to the development of the strategic plan as an opportunity to highlight the importance of the SDGs in the Arctic.</w:t>
      </w:r>
    </w:p>
    <w:p w14:paraId="7D113233" w14:textId="77777777" w:rsidR="000E4B9C" w:rsidRDefault="00F84854" w:rsidP="00F707DB">
      <w:r>
        <w:t xml:space="preserve">The discussion that followed included a good deal of support for a closer and more visible tie-in between the Arctic Council’s work and the SDGs. Some delegations suggested that the SDGs could be a matrix to help guide and organize the Council’s work, while others </w:t>
      </w:r>
      <w:r w:rsidR="00BA647C">
        <w:t>supported</w:t>
      </w:r>
      <w:r w:rsidR="00886362">
        <w:t xml:space="preserve"> mapping the Council’s existing work against the SDGs</w:t>
      </w:r>
      <w:r w:rsidR="00BA647C">
        <w:t>.</w:t>
      </w:r>
      <w:r w:rsidR="00886362">
        <w:t xml:space="preserve"> </w:t>
      </w:r>
      <w:r w:rsidR="006547FE">
        <w:t xml:space="preserve">Others noted that other regional organizations – particularly the Council of Baltic Sea States – have prepared strategies for regional work towards achieving the SDGs. </w:t>
      </w:r>
      <w:r w:rsidR="00DE19D2">
        <w:t xml:space="preserve">Some </w:t>
      </w:r>
      <w:r w:rsidR="00225471">
        <w:t>pointed out</w:t>
      </w:r>
      <w:r w:rsidR="00DE19D2">
        <w:t xml:space="preserve"> that the SDGs </w:t>
      </w:r>
      <w:r w:rsidR="00DE19D2">
        <w:lastRenderedPageBreak/>
        <w:t xml:space="preserve">were not produced with the polar regions in mind and would need to be translated in some way to fit the Arctic context. </w:t>
      </w:r>
      <w:r w:rsidR="00067F86">
        <w:t xml:space="preserve">Others </w:t>
      </w:r>
      <w:r w:rsidR="00DE19D2">
        <w:t>pointed out that the</w:t>
      </w:r>
      <w:r w:rsidR="00886362">
        <w:t xml:space="preserve"> implementation of the SDGs</w:t>
      </w:r>
      <w:r w:rsidR="00DE19D2">
        <w:t xml:space="preserve"> is a national responsibility. </w:t>
      </w:r>
    </w:p>
    <w:p w14:paraId="17BFC79D" w14:textId="77777777" w:rsidR="00886362" w:rsidRDefault="00886362" w:rsidP="00F707DB">
      <w:r>
        <w:t xml:space="preserve">The Saami Council and ICC both welcomed increased focus on the SDGs in SDWG and in the Council more broadly, and </w:t>
      </w:r>
      <w:r w:rsidR="006547FE">
        <w:t xml:space="preserve">they </w:t>
      </w:r>
      <w:r>
        <w:t xml:space="preserve">stated their support for </w:t>
      </w:r>
      <w:r w:rsidR="006547FE" w:rsidRPr="00E97F9C">
        <w:t>inclusion and consideration</w:t>
      </w:r>
      <w:r w:rsidR="006547FE">
        <w:t xml:space="preserve"> of Arctic indigenous peoples </w:t>
      </w:r>
      <w:r>
        <w:t xml:space="preserve">in the current discussion. </w:t>
      </w:r>
    </w:p>
    <w:p w14:paraId="335999E4" w14:textId="647B8311" w:rsidR="00886362" w:rsidRPr="004D68C4" w:rsidRDefault="00886362" w:rsidP="00F707DB">
      <w:r>
        <w:t xml:space="preserve">CAFF drew attention to an information </w:t>
      </w:r>
      <w:r w:rsidRPr="008568D8">
        <w:t xml:space="preserve">document </w:t>
      </w:r>
      <w:r w:rsidR="00C9224F" w:rsidRPr="008568D8">
        <w:t>provided to the SAO meeting</w:t>
      </w:r>
      <w:r w:rsidRPr="008568D8">
        <w:t xml:space="preserve"> </w:t>
      </w:r>
      <w:r w:rsidR="008568D8" w:rsidRPr="008568D8">
        <w:t xml:space="preserve">giving </w:t>
      </w:r>
      <w:r w:rsidR="006F56CF" w:rsidRPr="008568D8">
        <w:t>an overview of CAFF’s activities and how they may contribute to supporting implementation of the SDGs</w:t>
      </w:r>
      <w:r w:rsidR="00A02ECA">
        <w:t xml:space="preserve"> and the Aichi targets. </w:t>
      </w:r>
      <w:r w:rsidR="00976CE1">
        <w:t xml:space="preserve">AMAP noted that the SDGs have </w:t>
      </w:r>
      <w:r w:rsidR="005860A5">
        <w:t xml:space="preserve">an evident </w:t>
      </w:r>
      <w:r w:rsidR="00976CE1">
        <w:t>connection to the resilience framework.</w:t>
      </w:r>
    </w:p>
    <w:p w14:paraId="0F71A117" w14:textId="77777777" w:rsidR="00F707DB" w:rsidRPr="00B56A52" w:rsidRDefault="00F707DB" w:rsidP="00F707DB">
      <w:pPr>
        <w:rPr>
          <w:b/>
        </w:rPr>
      </w:pPr>
      <w:r w:rsidRPr="00B56A52">
        <w:rPr>
          <w:b/>
        </w:rPr>
        <w:t>Summary / Conclusion</w:t>
      </w:r>
    </w:p>
    <w:p w14:paraId="153D99FE" w14:textId="77777777" w:rsidR="00F707DB" w:rsidRPr="00B56A52" w:rsidRDefault="00A02ECA" w:rsidP="00F707DB">
      <w:r>
        <w:t xml:space="preserve">This item was for information and discussion. The SAOC closed the conversation, citing it as a good beginning. He </w:t>
      </w:r>
      <w:r w:rsidR="0099284B">
        <w:t xml:space="preserve">concluded </w:t>
      </w:r>
      <w:r>
        <w:t xml:space="preserve">that the Arctic Council could offer valuable guidance in </w:t>
      </w:r>
      <w:r w:rsidR="0099284B">
        <w:t>th</w:t>
      </w:r>
      <w:r>
        <w:t>e pursuit of the SDGs in the Arctic</w:t>
      </w:r>
      <w:r w:rsidR="0099284B">
        <w:t>, while their implementation is a national responsibility</w:t>
      </w:r>
      <w:r>
        <w:t>.</w:t>
      </w:r>
    </w:p>
    <w:p w14:paraId="7749664F" w14:textId="77777777" w:rsidR="00F707DB" w:rsidRDefault="00F707DB" w:rsidP="00F707DB"/>
    <w:p w14:paraId="55E6D803" w14:textId="77777777" w:rsidR="00E72ACA" w:rsidRDefault="0003073E" w:rsidP="00E72ACA">
      <w:pPr>
        <w:pStyle w:val="Heading1"/>
      </w:pPr>
      <w:r>
        <w:t>7</w:t>
      </w:r>
      <w:r w:rsidR="00E72ACA" w:rsidRPr="00B4789D">
        <w:t>.</w:t>
      </w:r>
      <w:r w:rsidR="00E72ACA">
        <w:t xml:space="preserve"> Arctic Council side event at UNFCCC COP23</w:t>
      </w:r>
    </w:p>
    <w:p w14:paraId="13F9D9E9" w14:textId="77777777" w:rsidR="00F707DB" w:rsidRPr="00B56A52" w:rsidRDefault="00F707DB" w:rsidP="00F707DB">
      <w:pPr>
        <w:rPr>
          <w:b/>
        </w:rPr>
      </w:pPr>
      <w:r w:rsidRPr="00B56A52">
        <w:rPr>
          <w:b/>
        </w:rPr>
        <w:t>Background and discussion</w:t>
      </w:r>
    </w:p>
    <w:p w14:paraId="73298BEB" w14:textId="77777777" w:rsidR="00F707DB" w:rsidRDefault="00091CAA" w:rsidP="00F707DB">
      <w:r>
        <w:t xml:space="preserve">On Monday 6 November 2017 (the opening day of COP23, held in Bonn, Germany), the Arctic Council hosted a panel discussion with speakers from AMAP, ICC, Finland, and the WMO. The panel addressed the global implications of </w:t>
      </w:r>
      <w:r w:rsidR="00225471">
        <w:t>rapid change in the Arctic</w:t>
      </w:r>
      <w:r>
        <w:t xml:space="preserve">. The event drew largely on the results of the 2017 SWIPA assessment, and devoted time to the need for adaptation, as well as to the knowledge and role of indigenous peoples. </w:t>
      </w:r>
      <w:r w:rsidR="00A411A7">
        <w:t>Finland</w:t>
      </w:r>
      <w:r w:rsidR="00FD2149">
        <w:t>’s SAO</w:t>
      </w:r>
      <w:r w:rsidR="00A411A7">
        <w:t xml:space="preserve"> thanked the ACS, AMAP, and Finland’s Ministry for the Environment for assembling the event, and noted the background document included with this agenda point that could be helpful in organizing similar events in the future. The event </w:t>
      </w:r>
      <w:r>
        <w:t>was well-attended, with 75 people in the room and broad “virtual” attention as well.</w:t>
      </w:r>
    </w:p>
    <w:p w14:paraId="1BE9B321" w14:textId="77777777" w:rsidR="00A411A7" w:rsidRDefault="00A411A7" w:rsidP="00F707DB">
      <w:r>
        <w:t>AMAP highlighted the value of such events as a way to bring forward scientif</w:t>
      </w:r>
      <w:r w:rsidR="00FD2149">
        <w:t>ic work to the policy community</w:t>
      </w:r>
      <w:r>
        <w:t xml:space="preserve"> and to highlight the research that provides a background for many of the decisions made in the Arctic Council. </w:t>
      </w:r>
    </w:p>
    <w:p w14:paraId="6F89BD18" w14:textId="77777777" w:rsidR="00F707DB" w:rsidRPr="00B56A52" w:rsidRDefault="00F707DB" w:rsidP="00F707DB">
      <w:pPr>
        <w:rPr>
          <w:b/>
        </w:rPr>
      </w:pPr>
      <w:r w:rsidRPr="00B56A52">
        <w:rPr>
          <w:b/>
        </w:rPr>
        <w:t>Summary / Conclusion</w:t>
      </w:r>
    </w:p>
    <w:p w14:paraId="12284632" w14:textId="77777777" w:rsidR="00F707DB" w:rsidRPr="00B56A52" w:rsidRDefault="00091CAA" w:rsidP="00F707DB">
      <w:r>
        <w:t>This item was for information.</w:t>
      </w:r>
    </w:p>
    <w:p w14:paraId="2E19A509" w14:textId="77777777" w:rsidR="00F707DB" w:rsidRDefault="00F707DB" w:rsidP="00F707DB"/>
    <w:p w14:paraId="28DD1EF1" w14:textId="77777777" w:rsidR="00C04D28" w:rsidRPr="00CC2E5E" w:rsidRDefault="0003073E" w:rsidP="00C04D28">
      <w:pPr>
        <w:pStyle w:val="Heading1"/>
      </w:pPr>
      <w:r>
        <w:lastRenderedPageBreak/>
        <w:t>8</w:t>
      </w:r>
      <w:r w:rsidR="00C04D28">
        <w:t xml:space="preserve">. </w:t>
      </w:r>
      <w:r w:rsidR="006034F5">
        <w:t>E</w:t>
      </w:r>
      <w:r w:rsidR="00C04D28">
        <w:t>xercise</w:t>
      </w:r>
      <w:r w:rsidR="006034F5">
        <w:t xml:space="preserve"> of the </w:t>
      </w:r>
      <w:r w:rsidR="006034F5" w:rsidRPr="006034F5">
        <w:t>Agreement on Cooperation on Marine Oil Pollution Preparedness and Response in the Arctic</w:t>
      </w:r>
      <w:r w:rsidR="006034F5">
        <w:t xml:space="preserve"> (2013)</w:t>
      </w:r>
    </w:p>
    <w:p w14:paraId="45F8C0C4" w14:textId="77777777" w:rsidR="00F707DB" w:rsidRPr="00B56A52" w:rsidRDefault="00F707DB" w:rsidP="00F707DB">
      <w:pPr>
        <w:rPr>
          <w:b/>
        </w:rPr>
      </w:pPr>
      <w:r w:rsidRPr="00B56A52">
        <w:rPr>
          <w:b/>
        </w:rPr>
        <w:t>Background and discussion</w:t>
      </w:r>
    </w:p>
    <w:p w14:paraId="73080866" w14:textId="77777777" w:rsidR="00F707DB" w:rsidRDefault="00624141" w:rsidP="00F707DB">
      <w:r>
        <w:t xml:space="preserve">Chair of EPPR Jens Peter Holst-Andersen gave a brief synopsis of the third exercise of the MOSPA agreement, held in March 2018 in Oulu, Finland. The table-top exercise scenario meets EPPR’s role in exercising the operational guidelines of the </w:t>
      </w:r>
      <w:hyperlink r:id="rId13" w:history="1">
        <w:r w:rsidRPr="002A32C4">
          <w:rPr>
            <w:rStyle w:val="Hyperlink"/>
          </w:rPr>
          <w:t>MOSPA agreement</w:t>
        </w:r>
      </w:hyperlink>
      <w:r>
        <w:t xml:space="preserve">. It had </w:t>
      </w:r>
      <w:r w:rsidR="002A32C4">
        <w:t>several</w:t>
      </w:r>
      <w:r>
        <w:t xml:space="preserve"> objectives. The first objective was to review and test notification protocols of the MOSPA and</w:t>
      </w:r>
      <w:r w:rsidR="008F77E5">
        <w:t xml:space="preserve"> the related </w:t>
      </w:r>
      <w:r>
        <w:t>Copenhagen Agreement</w:t>
      </w:r>
      <w:r w:rsidR="008F77E5">
        <w:t xml:space="preserve"> between the Nordic </w:t>
      </w:r>
      <w:r w:rsidR="000C3205">
        <w:t>countries</w:t>
      </w:r>
      <w:r>
        <w:t xml:space="preserve">. This was done via a connectivity test involving a request for assistance sent from Finland to all other Arctic States. The outcome was an excellent 100% success rate in less than 90 minutes. The second objective was to demonstrate the ability to use the </w:t>
      </w:r>
      <w:hyperlink r:id="rId14" w:history="1">
        <w:r w:rsidRPr="000A3981">
          <w:rPr>
            <w:rStyle w:val="Hyperlink"/>
          </w:rPr>
          <w:t>response equipment database</w:t>
        </w:r>
      </w:hyperlink>
      <w:r>
        <w:t xml:space="preserve"> available on the EPPR website.</w:t>
      </w:r>
      <w:r w:rsidR="002A32C4">
        <w:t xml:space="preserve"> After doing so, participants in the table-top exercise offered input as to how the database and the user interface could be improved.</w:t>
      </w:r>
      <w:r>
        <w:t xml:space="preserve"> </w:t>
      </w:r>
      <w:r w:rsidR="002A32C4">
        <w:t xml:space="preserve">The third objective was </w:t>
      </w:r>
      <w:r>
        <w:t xml:space="preserve">to identify a liaison for each Party to coordinate the rendering of assistance to the Party in need. </w:t>
      </w:r>
      <w:r w:rsidR="002A32C4">
        <w:t xml:space="preserve">This is an important and challenging component of well-coordinated emergency response. The fourth objective was to demonstrate the ability to use the </w:t>
      </w:r>
      <w:hyperlink r:id="rId15" w:history="1">
        <w:r w:rsidR="002A32C4" w:rsidRPr="002A32C4">
          <w:rPr>
            <w:rStyle w:val="Hyperlink"/>
          </w:rPr>
          <w:t>2017 COSRVA</w:t>
        </w:r>
      </w:hyperlink>
      <w:r w:rsidR="00FD2149">
        <w:t xml:space="preserve"> to facilitate decision-making on oil spill response planning and tactics. The after-action report detailing all of this will be out soon.</w:t>
      </w:r>
    </w:p>
    <w:p w14:paraId="16373229" w14:textId="77777777" w:rsidR="00624141" w:rsidRDefault="00624141" w:rsidP="00F707DB">
      <w:r>
        <w:t>The EPPR Chair</w:t>
      </w:r>
      <w:r w:rsidR="000A3981">
        <w:t xml:space="preserve"> gave much of the credit for this well-organized exercise to Wes James (U.S.</w:t>
      </w:r>
      <w:r w:rsidR="00DD5BAA">
        <w:t xml:space="preserve"> Coast Guard</w:t>
      </w:r>
      <w:r w:rsidR="000A3981">
        <w:t>) and Jorma Rytkönen (Fin</w:t>
      </w:r>
      <w:r w:rsidR="00DD5BAA">
        <w:t>nish Environment Institute</w:t>
      </w:r>
      <w:r w:rsidR="000A3981">
        <w:t>). He</w:t>
      </w:r>
      <w:r>
        <w:t xml:space="preserve"> also encouraged delegates to look at the recently revamped EPPR website, eppr.org.</w:t>
      </w:r>
    </w:p>
    <w:p w14:paraId="5E8C012B" w14:textId="77777777" w:rsidR="000A3981" w:rsidRDefault="000A3981" w:rsidP="00F707DB">
      <w:r>
        <w:t xml:space="preserve">Finland offered a deeper dive into the other events that took place in Oulu during the same week. These included a conference on oil spill response in the Arctic, a live exercise organized by the Finnish border guard and the Swedish coast guard, and a meeting of the principals of the Arctic Coast Guard Forum. </w:t>
      </w:r>
    </w:p>
    <w:p w14:paraId="3C15CA41" w14:textId="77777777" w:rsidR="00791D6F" w:rsidRDefault="00791D6F" w:rsidP="00F707DB">
      <w:r>
        <w:t>During the discussion that followed, there was general praise for EPPR and its work in this exercise. Iceland asked the EPPR Chair to elaborate on EPPR’s role in the implementation of the MOSPA and its operational guidelines. In response, the Chair said that</w:t>
      </w:r>
      <w:r w:rsidR="003876E5">
        <w:t xml:space="preserve"> the implementation of the MOSPA is a national responsibility.</w:t>
      </w:r>
      <w:r>
        <w:t xml:space="preserve"> EPPR’s role is still developing and under discussion. He pointed out that EPPR cannot have an operational role by commanding physical assets on land, in the air, or at sea, but that it can support the exercises by helping with planning and by running table-top exercises on EPPR-related work and projects. </w:t>
      </w:r>
    </w:p>
    <w:p w14:paraId="2AFCEE37" w14:textId="77777777" w:rsidR="00F707DB" w:rsidRPr="00B56A52" w:rsidRDefault="00F707DB" w:rsidP="00F707DB">
      <w:pPr>
        <w:rPr>
          <w:b/>
        </w:rPr>
      </w:pPr>
      <w:r w:rsidRPr="00B56A52">
        <w:rPr>
          <w:b/>
        </w:rPr>
        <w:t>Summary / Conclusion</w:t>
      </w:r>
    </w:p>
    <w:p w14:paraId="444B7C36" w14:textId="77777777" w:rsidR="00F707DB" w:rsidRPr="00B56A52" w:rsidRDefault="00091CAA" w:rsidP="00F707DB">
      <w:r>
        <w:t>This item was for discussion.</w:t>
      </w:r>
    </w:p>
    <w:p w14:paraId="1EE9015B" w14:textId="77777777" w:rsidR="00F707DB" w:rsidRDefault="00F707DB" w:rsidP="00F707DB"/>
    <w:p w14:paraId="6BE5BC73" w14:textId="77777777" w:rsidR="00C04D28" w:rsidRDefault="0003073E" w:rsidP="00C04D28">
      <w:pPr>
        <w:pStyle w:val="Heading1"/>
      </w:pPr>
      <w:r>
        <w:lastRenderedPageBreak/>
        <w:t>9</w:t>
      </w:r>
      <w:r w:rsidR="00C04D28">
        <w:t>. Conference on harmonized implementation of the Polar Code</w:t>
      </w:r>
    </w:p>
    <w:p w14:paraId="677B710D" w14:textId="77777777" w:rsidR="00F707DB" w:rsidRPr="00B56A52" w:rsidRDefault="00F707DB" w:rsidP="00F707DB">
      <w:pPr>
        <w:rPr>
          <w:b/>
        </w:rPr>
      </w:pPr>
      <w:r w:rsidRPr="00B56A52">
        <w:rPr>
          <w:b/>
        </w:rPr>
        <w:t>Background and discussion</w:t>
      </w:r>
    </w:p>
    <w:p w14:paraId="05ACE182" w14:textId="77777777" w:rsidR="00013924" w:rsidRDefault="00310A01" w:rsidP="00F707DB">
      <w:r>
        <w:t>The IMO Polar Code entered into force in the beginning of 2017. Its enforcement enhances both shipping safety and environmental protection in its application areas in Arctic and Antarctic waters. To support harmonized implementation of the Pol</w:t>
      </w:r>
      <w:r w:rsidR="00AD6807">
        <w:t>ar Code, the Finnish Transport Safety Agency and PAME organized an international conference addressing that theme on 22 February 2018 in Helsinki. Dr. Anita Mäkinen provided a synopsis of the conference, which attracted 130 participants</w:t>
      </w:r>
      <w:r w:rsidR="00B45A92">
        <w:t xml:space="preserve">. </w:t>
      </w:r>
    </w:p>
    <w:p w14:paraId="5453ED46" w14:textId="77777777" w:rsidR="00013924" w:rsidRDefault="00B45A92" w:rsidP="00F707DB">
      <w:r>
        <w:t xml:space="preserve">The Secretary General of the IMO Mr. Kitack Lim and the Secretary General </w:t>
      </w:r>
      <w:r w:rsidR="00013924">
        <w:t xml:space="preserve">of the WMO </w:t>
      </w:r>
      <w:r>
        <w:t xml:space="preserve">Mr. Petteri Taalas made keynote presentations </w:t>
      </w:r>
      <w:r w:rsidR="00013924">
        <w:t xml:space="preserve">in the conference </w:t>
      </w:r>
      <w:r>
        <w:t xml:space="preserve">highlighting the interest of their </w:t>
      </w:r>
      <w:r w:rsidR="00013924">
        <w:t>organizations in the role of the Arctic Council in supporting the harmonized implementation of the Polar Code.</w:t>
      </w:r>
      <w:r w:rsidR="00AD6807">
        <w:t xml:space="preserve"> </w:t>
      </w:r>
    </w:p>
    <w:p w14:paraId="32C28759" w14:textId="77777777" w:rsidR="00AD6807" w:rsidRDefault="00AD6807" w:rsidP="00F707DB">
      <w:r>
        <w:t xml:space="preserve">The conference addressed issues such as the challenges of implementing the Polar Code for national administrators and for seafarers, and </w:t>
      </w:r>
      <w:r w:rsidR="00FD2149">
        <w:t xml:space="preserve">the discussions there showed </w:t>
      </w:r>
      <w:r>
        <w:t xml:space="preserve">that the Polar Code’s regulations and requirements leave room for different interpretation by </w:t>
      </w:r>
      <w:r w:rsidR="000C3205">
        <w:t>the</w:t>
      </w:r>
      <w:r>
        <w:t xml:space="preserve"> parties. Crew training was also raised as a significant challenge, as was the issue of </w:t>
      </w:r>
      <w:r w:rsidR="000C3205">
        <w:t xml:space="preserve">the long period between </w:t>
      </w:r>
      <w:r w:rsidR="004D68C4">
        <w:t xml:space="preserve">an </w:t>
      </w:r>
      <w:r w:rsidR="000C3205">
        <w:t>accident and evacuation</w:t>
      </w:r>
      <w:r>
        <w:t xml:space="preserve"> in the Arctic. These and other findings from the conference are being prepared for submission to the IMO.</w:t>
      </w:r>
    </w:p>
    <w:p w14:paraId="6BCF30E7" w14:textId="77777777" w:rsidR="00AD6807" w:rsidRDefault="00AD6807" w:rsidP="00F707DB">
      <w:r>
        <w:t xml:space="preserve">Several </w:t>
      </w:r>
      <w:r w:rsidR="00827D14">
        <w:t>S</w:t>
      </w:r>
      <w:r>
        <w:t>tates emphasized the importance of the conference’s conclus</w:t>
      </w:r>
      <w:r w:rsidR="00597459">
        <w:t>ions and stated their strong support for this line of PAME’s work.</w:t>
      </w:r>
    </w:p>
    <w:p w14:paraId="06940A61" w14:textId="77777777" w:rsidR="00F707DB" w:rsidRPr="00B56A52" w:rsidRDefault="00F707DB" w:rsidP="00F707DB">
      <w:pPr>
        <w:rPr>
          <w:b/>
        </w:rPr>
      </w:pPr>
      <w:r w:rsidRPr="00B56A52">
        <w:rPr>
          <w:b/>
        </w:rPr>
        <w:t>Summary / Conclusion</w:t>
      </w:r>
    </w:p>
    <w:p w14:paraId="785ED379" w14:textId="77777777" w:rsidR="00F707DB" w:rsidRPr="00B56A52" w:rsidRDefault="00091CAA" w:rsidP="00F707DB">
      <w:r>
        <w:t>This item was for information.</w:t>
      </w:r>
    </w:p>
    <w:p w14:paraId="68E3B78D" w14:textId="77777777" w:rsidR="00F707DB" w:rsidRDefault="00F707DB" w:rsidP="00F707DB"/>
    <w:p w14:paraId="030579F6" w14:textId="77777777" w:rsidR="006D58F7" w:rsidRDefault="0003073E" w:rsidP="006D58F7">
      <w:pPr>
        <w:pStyle w:val="Heading1"/>
      </w:pPr>
      <w:r>
        <w:t>10</w:t>
      </w:r>
      <w:r w:rsidR="006D58F7">
        <w:t>. Arctic Resilience Forum preparations</w:t>
      </w:r>
    </w:p>
    <w:p w14:paraId="04248EC3" w14:textId="77777777" w:rsidR="00F707DB" w:rsidRPr="00B56A52" w:rsidRDefault="00F707DB" w:rsidP="00F707DB">
      <w:pPr>
        <w:rPr>
          <w:b/>
        </w:rPr>
      </w:pPr>
      <w:r w:rsidRPr="00B56A52">
        <w:rPr>
          <w:b/>
        </w:rPr>
        <w:t>Background and discussion</w:t>
      </w:r>
    </w:p>
    <w:p w14:paraId="098591C2" w14:textId="77777777" w:rsidR="00F707DB" w:rsidRDefault="0092020B" w:rsidP="00F707DB">
      <w:r>
        <w:t xml:space="preserve">Saara Lilja-Rothsten of the Finnish Ministry for Agriculture and Forestry provided an update on preparations for the upcoming ARF. </w:t>
      </w:r>
      <w:r w:rsidR="00032373">
        <w:t xml:space="preserve">The aims of the </w:t>
      </w:r>
      <w:r>
        <w:t>ARF</w:t>
      </w:r>
      <w:r w:rsidR="00032373">
        <w:t xml:space="preserve">, planned for 10-11 September 2018 in Rovaniemi, are (1) to create the conditions to strengthen </w:t>
      </w:r>
      <w:r w:rsidR="00396C62">
        <w:t xml:space="preserve">the </w:t>
      </w:r>
      <w:r w:rsidR="00032373">
        <w:t xml:space="preserve">resilience and adaptability of actors in the Arctic regions and (2) to disseminate best practices and tools for adapting to climate change and to manage climate and weather-related impacts and other risks that are posed by </w:t>
      </w:r>
      <w:r w:rsidR="00396C62">
        <w:t xml:space="preserve">rapid change in the </w:t>
      </w:r>
      <w:r w:rsidR="00032373">
        <w:t xml:space="preserve">Arctic. The </w:t>
      </w:r>
      <w:r>
        <w:t xml:space="preserve">preparations for the </w:t>
      </w:r>
      <w:r w:rsidR="00032373">
        <w:t>2018 ARF</w:t>
      </w:r>
      <w:r w:rsidR="00827D14">
        <w:t xml:space="preserve"> are co-led by Finland, Sweden, the U.S., </w:t>
      </w:r>
      <w:r>
        <w:t xml:space="preserve">SDWG, and the ACS. The program will include an open seminar on the first day for resilience experts and practitioners from many different levels and for key policymakers and stakeholders. The second day will be a smaller workshop </w:t>
      </w:r>
      <w:r>
        <w:lastRenderedPageBreak/>
        <w:t xml:space="preserve">dedicated to discussion of how the climate resilience work of the Arctic Council’s Working Groups can be strengthened. </w:t>
      </w:r>
    </w:p>
    <w:p w14:paraId="64356B73" w14:textId="77777777" w:rsidR="0092020B" w:rsidRDefault="0092020B" w:rsidP="00F707DB">
      <w:r>
        <w:t xml:space="preserve">Ms. Lilja-Rothsten then presented some key takeaways from a preparatory meeting held on </w:t>
      </w:r>
      <w:r w:rsidR="00013924">
        <w:t>the previous day</w:t>
      </w:r>
      <w:r w:rsidR="00827D14">
        <w:t>. That meeting</w:t>
      </w:r>
      <w:r w:rsidR="003F3B87">
        <w:t xml:space="preserve"> focused primarily on the opportunities that the ARF presents to showcase ongoing actions that strengthen resilience and on the challenge of thoroughly analyzing the work ongoing in the Arctic Council WGs that strengthens resilience. She then briefly presented a pre-study of best </w:t>
      </w:r>
      <w:r w:rsidR="00827D14">
        <w:t>practices for Arctic resilience</w:t>
      </w:r>
      <w:r w:rsidR="003F3B87">
        <w:t xml:space="preserve"> and highlighted the value of the Arctic S</w:t>
      </w:r>
      <w:r w:rsidR="009A5380">
        <w:t xml:space="preserve">patial </w:t>
      </w:r>
      <w:r w:rsidR="003F3B87">
        <w:t>D</w:t>
      </w:r>
      <w:r w:rsidR="009A5380">
        <w:t xml:space="preserve">ata </w:t>
      </w:r>
      <w:r w:rsidR="003F3B87">
        <w:t>I</w:t>
      </w:r>
      <w:r w:rsidR="009A5380">
        <w:t>nfrastructure</w:t>
      </w:r>
      <w:r w:rsidR="003F3B87">
        <w:t xml:space="preserve"> as a contributor to </w:t>
      </w:r>
      <w:r w:rsidR="00827D14">
        <w:t xml:space="preserve">enhanced </w:t>
      </w:r>
      <w:r w:rsidR="003F3B87">
        <w:t>resilience.</w:t>
      </w:r>
    </w:p>
    <w:p w14:paraId="7067FD42" w14:textId="77777777" w:rsidR="00D466F9" w:rsidRDefault="00D466F9" w:rsidP="00F707DB">
      <w:r>
        <w:t>In the brief discussion that followed, the</w:t>
      </w:r>
      <w:r w:rsidR="00F21151">
        <w:t xml:space="preserve"> SAOs</w:t>
      </w:r>
      <w:r>
        <w:t>, PPs, and WGs that spoke were su</w:t>
      </w:r>
      <w:r w:rsidR="00B24355">
        <w:t>pportive of the ongoing work, and they</w:t>
      </w:r>
      <w:r>
        <w:t xml:space="preserve"> looked forward to the future of resilience work in the Council </w:t>
      </w:r>
      <w:r w:rsidR="00B24355">
        <w:t>in general</w:t>
      </w:r>
      <w:r>
        <w:t>. Several speakers noted the value of the meeting held with the Working Groups</w:t>
      </w:r>
      <w:r w:rsidR="00B24355">
        <w:t xml:space="preserve"> </w:t>
      </w:r>
      <w:r w:rsidR="00FA3C08">
        <w:t>a</w:t>
      </w:r>
      <w:r w:rsidR="00B24355">
        <w:t xml:space="preserve">nd mentioned the importance of including the private sector </w:t>
      </w:r>
      <w:r w:rsidR="0035298C">
        <w:t xml:space="preserve">in the </w:t>
      </w:r>
      <w:r w:rsidR="00053EB5">
        <w:t xml:space="preserve">preparation of the </w:t>
      </w:r>
      <w:r w:rsidR="0035298C">
        <w:t>ARF</w:t>
      </w:r>
      <w:r w:rsidR="00B24355">
        <w:t xml:space="preserve">. </w:t>
      </w:r>
    </w:p>
    <w:p w14:paraId="606BC828" w14:textId="77777777" w:rsidR="00F707DB" w:rsidRPr="00B56A52" w:rsidRDefault="00F707DB" w:rsidP="00F707DB">
      <w:pPr>
        <w:rPr>
          <w:b/>
        </w:rPr>
      </w:pPr>
      <w:r w:rsidRPr="00B56A52">
        <w:rPr>
          <w:b/>
        </w:rPr>
        <w:t>Summary / Conclusion</w:t>
      </w:r>
    </w:p>
    <w:p w14:paraId="21EA980D" w14:textId="77777777" w:rsidR="00F707DB" w:rsidRPr="00B56A52" w:rsidRDefault="00091CAA" w:rsidP="00F707DB">
      <w:r>
        <w:t>This item was for information and guidance.</w:t>
      </w:r>
    </w:p>
    <w:p w14:paraId="3FD7E551" w14:textId="77777777" w:rsidR="00F707DB" w:rsidRDefault="00F707DB" w:rsidP="00F707DB"/>
    <w:p w14:paraId="58852FE9" w14:textId="77777777" w:rsidR="008D66E5" w:rsidRDefault="0003073E" w:rsidP="008D66E5">
      <w:pPr>
        <w:pStyle w:val="Heading1"/>
      </w:pPr>
      <w:r>
        <w:t>11</w:t>
      </w:r>
      <w:r w:rsidR="008D66E5">
        <w:t>. Arctic Biodiversity Congress</w:t>
      </w:r>
      <w:r w:rsidR="00413927">
        <w:t xml:space="preserve"> preparations</w:t>
      </w:r>
    </w:p>
    <w:p w14:paraId="088BF589" w14:textId="77777777" w:rsidR="00F707DB" w:rsidRPr="00B56A52" w:rsidRDefault="00F707DB" w:rsidP="00F707DB">
      <w:pPr>
        <w:rPr>
          <w:b/>
        </w:rPr>
      </w:pPr>
      <w:r w:rsidRPr="00B56A52">
        <w:rPr>
          <w:b/>
        </w:rPr>
        <w:t>Background and discussion</w:t>
      </w:r>
    </w:p>
    <w:p w14:paraId="7C572DDB" w14:textId="0AA1BBAE" w:rsidR="00F707DB" w:rsidRDefault="00C95B69" w:rsidP="00F707DB">
      <w:r>
        <w:t xml:space="preserve">CAFF Chair Cynthia Jacobson presented on the second </w:t>
      </w:r>
      <w:hyperlink r:id="rId16" w:history="1">
        <w:r w:rsidRPr="00C95B69">
          <w:rPr>
            <w:rStyle w:val="Hyperlink"/>
          </w:rPr>
          <w:t>Arctic Biodiversity Congress</w:t>
        </w:r>
      </w:hyperlink>
      <w:r>
        <w:t xml:space="preserve"> </w:t>
      </w:r>
      <w:r w:rsidR="00C13187">
        <w:t>(ABC</w:t>
      </w:r>
      <w:r>
        <w:t xml:space="preserve">), which will be held in Rovaniemi on 9-11 October 2018. </w:t>
      </w:r>
      <w:r w:rsidR="00C13187">
        <w:t>The 2018 ABC</w:t>
      </w:r>
      <w:r>
        <w:t xml:space="preserve"> will promote the conservation and sustainable use of Arctic biodiversity through dialogue among scientists, policymakers, government officials, industry, civil society, and indigenous peoples. A youth summit focused on Arctic biodiversity is also being organized to contribute to capacity-building among youth, and the final day of </w:t>
      </w:r>
      <w:r w:rsidR="00C13187">
        <w:t xml:space="preserve">the 2018 ABC </w:t>
      </w:r>
      <w:r>
        <w:t xml:space="preserve">will tie in with the </w:t>
      </w:r>
      <w:r w:rsidR="00C13187">
        <w:t xml:space="preserve">2018 </w:t>
      </w:r>
      <w:r>
        <w:t>AEMM. The program will be framed by the ABA recommendation headings, and the three-day program will include keynote addresses, plenary panels, a poster session, excursions, side meetings, and a photography competition</w:t>
      </w:r>
      <w:r w:rsidR="007A3CCB">
        <w:t>.</w:t>
      </w:r>
      <w:r>
        <w:t xml:space="preserve"> CAFF is seeking diversity among the keynote speakers and within the program, which is informed by the advice and participation of PPs, States, WGs, Observers, and a committee of industry representatives.</w:t>
      </w:r>
      <w:r w:rsidR="00C13187">
        <w:t xml:space="preserve"> The CAFF Chair thanked Finland’s Ministry of Environment, the CAFF secretariat, and the Nordic Council of Ministers for their efforts and support.</w:t>
      </w:r>
    </w:p>
    <w:p w14:paraId="37872764" w14:textId="77777777" w:rsidR="00C95B69" w:rsidRDefault="00C95B69" w:rsidP="00F707DB">
      <w:r>
        <w:t xml:space="preserve">The call for content (sessions and papers) had a deadline of 30 March 2018. Early bird registration </w:t>
      </w:r>
      <w:r w:rsidR="00C13187">
        <w:t xml:space="preserve">ends </w:t>
      </w:r>
      <w:r>
        <w:t>on 30 June 2018.</w:t>
      </w:r>
    </w:p>
    <w:p w14:paraId="56FEF27B" w14:textId="79A9C4BE" w:rsidR="00C13187" w:rsidRDefault="00C13187" w:rsidP="00F707DB">
      <w:r>
        <w:t xml:space="preserve">During the discussion, </w:t>
      </w:r>
      <w:r w:rsidR="00974C0E">
        <w:t>the SAOs</w:t>
      </w:r>
      <w:r>
        <w:t xml:space="preserve">, PPs, and WGs </w:t>
      </w:r>
      <w:r w:rsidR="009F5C37">
        <w:t xml:space="preserve">were all looking forward to the </w:t>
      </w:r>
      <w:r>
        <w:t xml:space="preserve">2018 ABC. The Saami Council and ICC both encouraged States to consider providing support for indigenous youth to attend the event. PAME, EPPR, and AMAP all noted their intent to host or co-host sessions at the 2018 ABC as well. </w:t>
      </w:r>
    </w:p>
    <w:p w14:paraId="00EDB89E" w14:textId="77777777" w:rsidR="008568D8" w:rsidRDefault="008568D8" w:rsidP="00F707DB"/>
    <w:p w14:paraId="0DA939A5" w14:textId="77777777" w:rsidR="00F707DB" w:rsidRPr="00B56A52" w:rsidRDefault="00F707DB" w:rsidP="00F707DB">
      <w:pPr>
        <w:rPr>
          <w:b/>
        </w:rPr>
      </w:pPr>
      <w:r w:rsidRPr="00B56A52">
        <w:rPr>
          <w:b/>
        </w:rPr>
        <w:lastRenderedPageBreak/>
        <w:t>Summary / Conclusion</w:t>
      </w:r>
    </w:p>
    <w:p w14:paraId="30152411" w14:textId="77777777" w:rsidR="00F707DB" w:rsidRPr="00B56A52" w:rsidRDefault="00091CAA" w:rsidP="00F707DB">
      <w:r>
        <w:t>This item was for information and guidance.</w:t>
      </w:r>
    </w:p>
    <w:p w14:paraId="361571B3" w14:textId="77777777" w:rsidR="00F707DB" w:rsidRDefault="00F707DB" w:rsidP="00F707DB"/>
    <w:p w14:paraId="6FB7AB7A" w14:textId="77777777" w:rsidR="006D58F7" w:rsidRDefault="0003073E" w:rsidP="006D58F7">
      <w:pPr>
        <w:pStyle w:val="Heading1"/>
      </w:pPr>
      <w:r>
        <w:t>12</w:t>
      </w:r>
      <w:r w:rsidR="006D58F7">
        <w:t>. Model Arctic Council preparations</w:t>
      </w:r>
    </w:p>
    <w:p w14:paraId="743A6426" w14:textId="77777777" w:rsidR="00F707DB" w:rsidRPr="00B56A52" w:rsidRDefault="00F707DB" w:rsidP="00F707DB">
      <w:pPr>
        <w:rPr>
          <w:b/>
        </w:rPr>
      </w:pPr>
      <w:r w:rsidRPr="00B56A52">
        <w:rPr>
          <w:b/>
        </w:rPr>
        <w:t>Background and discussion</w:t>
      </w:r>
    </w:p>
    <w:p w14:paraId="7F20F751" w14:textId="257DA1AF" w:rsidR="00F707DB" w:rsidRDefault="0045515D" w:rsidP="00F707DB">
      <w:r>
        <w:t>A</w:t>
      </w:r>
      <w:r w:rsidR="00FB7581">
        <w:t xml:space="preserve"> Model Arctic Council (MAC) will be </w:t>
      </w:r>
      <w:r w:rsidR="00EE3A4A">
        <w:t xml:space="preserve">co-organized and </w:t>
      </w:r>
      <w:r w:rsidR="00FB7581">
        <w:t xml:space="preserve">hosted by the University of Lapland </w:t>
      </w:r>
      <w:r w:rsidR="00EE3A4A">
        <w:t xml:space="preserve">and UArctic </w:t>
      </w:r>
      <w:r w:rsidR="00FB7581">
        <w:t>from 29 October to 2 November 2018. Prof. Lassi Heininen reviewed the fundamental aims of the MAC</w:t>
      </w:r>
      <w:r w:rsidR="00032373">
        <w:t xml:space="preserve"> and the expected outcomes for students, as well as expectations for students’ preparations. He expressed the hope that SAOs, PPs, WGs, and Observers might find time to observe the final session of MAC 2018</w:t>
      </w:r>
      <w:r w:rsidR="005C0613">
        <w:t>, and to offer guidance to students if asked during their preparations for the session</w:t>
      </w:r>
      <w:r w:rsidR="00032373">
        <w:t xml:space="preserve">. </w:t>
      </w:r>
      <w:r w:rsidR="00EE3A4A">
        <w:t xml:space="preserve">Thus far, 90 students have </w:t>
      </w:r>
      <w:r w:rsidR="009F5C37">
        <w:t xml:space="preserve">applied </w:t>
      </w:r>
      <w:r w:rsidR="00EE3A4A">
        <w:t xml:space="preserve">to take part. </w:t>
      </w:r>
    </w:p>
    <w:p w14:paraId="2EBCE5D3" w14:textId="77777777" w:rsidR="00EE3A4A" w:rsidRDefault="00EE3A4A" w:rsidP="00F707DB">
      <w:r>
        <w:t>The Kingdom of Denmark, PAME, and CAFF all pointed to their previous experience with initiatives to include and educate youth and offered to assist by sharing their lessons-learned. CAFF also encouraged all delegations to consider including youth representatives in their delegations to future meetings. The Saami Council encouraged the organizers to work to ensure that indigenous issues are well understood in order to be appropriately addressed during the simulation</w:t>
      </w:r>
      <w:r w:rsidR="00DE3C84">
        <w:t>. T</w:t>
      </w:r>
      <w:r>
        <w:t>he SAOC concluded by highlighting this as one example of UArctic contributing to the work of the Arctic Council.</w:t>
      </w:r>
    </w:p>
    <w:p w14:paraId="1FC98BD2" w14:textId="77777777" w:rsidR="00F707DB" w:rsidRPr="00B56A52" w:rsidRDefault="00F707DB" w:rsidP="00F707DB">
      <w:pPr>
        <w:rPr>
          <w:b/>
        </w:rPr>
      </w:pPr>
      <w:r w:rsidRPr="00B56A52">
        <w:rPr>
          <w:b/>
        </w:rPr>
        <w:t>Summary / Conclusion</w:t>
      </w:r>
    </w:p>
    <w:p w14:paraId="1205CBA9" w14:textId="77777777" w:rsidR="00F707DB" w:rsidRPr="00B56A52" w:rsidRDefault="00091CAA" w:rsidP="00F707DB">
      <w:r>
        <w:t>This item was for information.</w:t>
      </w:r>
    </w:p>
    <w:p w14:paraId="0362DA1B" w14:textId="77777777" w:rsidR="00F707DB" w:rsidRDefault="00F707DB" w:rsidP="00F707DB"/>
    <w:p w14:paraId="0255EAC5" w14:textId="77777777" w:rsidR="00923C9D" w:rsidRDefault="00C04D28" w:rsidP="00923C9D">
      <w:pPr>
        <w:pStyle w:val="Heading1"/>
      </w:pPr>
      <w:r>
        <w:t>1</w:t>
      </w:r>
      <w:r w:rsidR="002976BB">
        <w:t>3</w:t>
      </w:r>
      <w:r w:rsidR="00923C9D">
        <w:t>. Thematic discussion: connectivity</w:t>
      </w:r>
    </w:p>
    <w:p w14:paraId="351C3A72" w14:textId="77777777" w:rsidR="00DB2505" w:rsidRPr="00DB2505" w:rsidRDefault="00DB2505" w:rsidP="0034702C">
      <w:pPr>
        <w:rPr>
          <w:b/>
        </w:rPr>
      </w:pPr>
      <w:r w:rsidRPr="00DB2505">
        <w:rPr>
          <w:b/>
        </w:rPr>
        <w:t>Background and discussion</w:t>
      </w:r>
    </w:p>
    <w:p w14:paraId="16FAE7B5" w14:textId="77777777" w:rsidR="00B07E14" w:rsidRDefault="0034702C" w:rsidP="0034702C">
      <w:r w:rsidRPr="0034702C">
        <w:t xml:space="preserve">Presenters for this agenda point </w:t>
      </w:r>
      <w:r w:rsidR="00B07E14">
        <w:t>were as follows.</w:t>
      </w:r>
    </w:p>
    <w:p w14:paraId="3297CF64" w14:textId="77777777" w:rsidR="00B07E14" w:rsidRDefault="0034702C" w:rsidP="00B07E14">
      <w:pPr>
        <w:pStyle w:val="ListParagraph"/>
        <w:numPr>
          <w:ilvl w:val="0"/>
          <w:numId w:val="20"/>
        </w:numPr>
        <w:spacing w:after="0"/>
      </w:pPr>
      <w:r w:rsidRPr="0034702C">
        <w:t xml:space="preserve">Tuomas Aslak Juuso, 2nd Vice-president, </w:t>
      </w:r>
      <w:r w:rsidR="00B07E14">
        <w:t>Sámi parliament of Finland</w:t>
      </w:r>
    </w:p>
    <w:p w14:paraId="04FBF17E" w14:textId="77777777" w:rsidR="00B07E14" w:rsidRDefault="0034702C" w:rsidP="00B07E14">
      <w:pPr>
        <w:pStyle w:val="ListParagraph"/>
        <w:numPr>
          <w:ilvl w:val="0"/>
          <w:numId w:val="20"/>
        </w:numPr>
        <w:spacing w:after="0"/>
      </w:pPr>
      <w:r w:rsidRPr="0034702C">
        <w:t>Laura Mäkitie, Neurologist, Project Manager, Helsinki University Central Hospital</w:t>
      </w:r>
    </w:p>
    <w:p w14:paraId="506C3129" w14:textId="77777777" w:rsidR="00B07E14" w:rsidRDefault="0034702C" w:rsidP="00B07E14">
      <w:pPr>
        <w:pStyle w:val="ListParagraph"/>
        <w:numPr>
          <w:ilvl w:val="0"/>
          <w:numId w:val="20"/>
        </w:numPr>
        <w:spacing w:after="0"/>
      </w:pPr>
      <w:r w:rsidRPr="0034702C">
        <w:t>Harri Saarnisaari, Researcher, Centre for Wireless Comm</w:t>
      </w:r>
      <w:r w:rsidR="00B07E14">
        <w:t>unications, University of Oulu</w:t>
      </w:r>
    </w:p>
    <w:p w14:paraId="61A6C92F" w14:textId="77777777" w:rsidR="00B07E14" w:rsidRDefault="0034702C" w:rsidP="00B07E14">
      <w:pPr>
        <w:pStyle w:val="ListParagraph"/>
        <w:numPr>
          <w:ilvl w:val="0"/>
          <w:numId w:val="20"/>
        </w:numPr>
        <w:spacing w:after="0"/>
      </w:pPr>
      <w:r w:rsidRPr="0034702C">
        <w:t>Andrey Kirillovich, Department Director, FGUP Space Commun</w:t>
      </w:r>
      <w:r w:rsidR="00B07E14">
        <w:t>ication, Russia</w:t>
      </w:r>
    </w:p>
    <w:p w14:paraId="5681015D" w14:textId="77777777" w:rsidR="00B07E14" w:rsidRDefault="0034702C" w:rsidP="00B07E14">
      <w:pPr>
        <w:pStyle w:val="ListParagraph"/>
        <w:numPr>
          <w:ilvl w:val="0"/>
          <w:numId w:val="20"/>
        </w:numPr>
        <w:spacing w:after="0"/>
      </w:pPr>
      <w:r w:rsidRPr="0034702C">
        <w:t>Jack Kaye, Associa</w:t>
      </w:r>
      <w:r w:rsidR="00B07E14">
        <w:t>te Director for Research, NASA</w:t>
      </w:r>
    </w:p>
    <w:p w14:paraId="2E1E3F34" w14:textId="77777777" w:rsidR="00B07E14" w:rsidRDefault="0034702C" w:rsidP="00B07E14">
      <w:pPr>
        <w:pStyle w:val="ListParagraph"/>
        <w:numPr>
          <w:ilvl w:val="0"/>
          <w:numId w:val="20"/>
        </w:numPr>
        <w:spacing w:after="0"/>
      </w:pPr>
      <w:r w:rsidRPr="0034702C">
        <w:t xml:space="preserve">Martti Kirkko-Jaakkola, Research </w:t>
      </w:r>
      <w:r w:rsidR="00B07E14">
        <w:t>Scientist, Finnish Land Survey</w:t>
      </w:r>
    </w:p>
    <w:p w14:paraId="596B6F60" w14:textId="77777777" w:rsidR="00B07E14" w:rsidRDefault="0034702C" w:rsidP="00B07E14">
      <w:pPr>
        <w:pStyle w:val="ListParagraph"/>
        <w:numPr>
          <w:ilvl w:val="0"/>
          <w:numId w:val="20"/>
        </w:numPr>
        <w:spacing w:after="0"/>
      </w:pPr>
      <w:r w:rsidRPr="0034702C">
        <w:t>Ragnar Thorvardarson, Senior Adviser, Ministry for Foreign Affairs</w:t>
      </w:r>
      <w:r w:rsidR="00B07E14">
        <w:t xml:space="preserve"> of Iceland</w:t>
      </w:r>
    </w:p>
    <w:p w14:paraId="099CACA4" w14:textId="77777777" w:rsidR="0034702C" w:rsidRPr="0034702C" w:rsidRDefault="0034702C" w:rsidP="00B07E14">
      <w:pPr>
        <w:pStyle w:val="ListParagraph"/>
        <w:numPr>
          <w:ilvl w:val="0"/>
          <w:numId w:val="20"/>
        </w:numPr>
      </w:pPr>
      <w:r w:rsidRPr="0034702C">
        <w:t>Marjukka Vihavainen-Pitkänen, TFICA co-Chair, Finnish Ministry for</w:t>
      </w:r>
      <w:r>
        <w:t xml:space="preserve"> Transport and Communications </w:t>
      </w:r>
    </w:p>
    <w:p w14:paraId="5A97BF3B" w14:textId="77777777" w:rsidR="000E49BF" w:rsidRDefault="000C6EDC" w:rsidP="0034702C">
      <w:r>
        <w:lastRenderedPageBreak/>
        <w:t xml:space="preserve">The presenters </w:t>
      </w:r>
      <w:r w:rsidR="0034702C" w:rsidRPr="0034702C">
        <w:t xml:space="preserve">provided comprehensive accounts of connectivity challenges in the Arctic, ranging from bad coverage, low internet speed, the lack of land and sea cables, high costs, and the reluctance of traditional mobile network operations to </w:t>
      </w:r>
      <w:r w:rsidR="00FE0E51">
        <w:t>invest</w:t>
      </w:r>
      <w:r w:rsidR="0034702C" w:rsidRPr="0034702C">
        <w:t xml:space="preserve"> in th</w:t>
      </w:r>
      <w:r>
        <w:t xml:space="preserve">e Arctic. These challenges </w:t>
      </w:r>
      <w:r w:rsidR="00FE0E51">
        <w:t>jeopardize</w:t>
      </w:r>
      <w:r w:rsidR="0034702C" w:rsidRPr="0034702C">
        <w:t xml:space="preserve"> maritime and aeronautical navigation and safety, </w:t>
      </w:r>
      <w:r>
        <w:t xml:space="preserve">they reduce </w:t>
      </w:r>
      <w:r w:rsidR="0034702C" w:rsidRPr="0034702C">
        <w:t>access to health and</w:t>
      </w:r>
      <w:r>
        <w:t xml:space="preserve"> education services, and they limit</w:t>
      </w:r>
      <w:r w:rsidR="0034702C" w:rsidRPr="0034702C">
        <w:t xml:space="preserve"> the development of sustainable livelihoods and entrepreneurship in the Arctic. </w:t>
      </w:r>
      <w:r w:rsidR="0045515D">
        <w:t>Examples of the benefits and opportunities of enhanced connectivity for people and communities were also highlighted, notably in the health sector.</w:t>
      </w:r>
    </w:p>
    <w:p w14:paraId="0A90285B" w14:textId="77777777" w:rsidR="00CB4550" w:rsidRDefault="0034702C" w:rsidP="0034702C">
      <w:r w:rsidRPr="0034702C">
        <w:t>Speakers presented a number of possible solutions ranging from new satellite systems with high elliptical orbits</w:t>
      </w:r>
      <w:r w:rsidR="00CB4550">
        <w:t xml:space="preserve"> (Russia is prepared to launch </w:t>
      </w:r>
      <w:r w:rsidR="00EB1075">
        <w:t>four</w:t>
      </w:r>
      <w:r w:rsidR="00CB4550">
        <w:t xml:space="preserve"> such satellites)</w:t>
      </w:r>
      <w:r w:rsidRPr="0034702C">
        <w:t>, alternative micro-network operator models, telehealth, more international cooperation in the field of data sharing, improvement of satellite navigation and geospatial information services, new funding models, and suggestions for public-private partnerships.</w:t>
      </w:r>
      <w:r w:rsidR="00CB4550">
        <w:t xml:space="preserve"> </w:t>
      </w:r>
      <w:r w:rsidR="00FE0E51">
        <w:t xml:space="preserve">The </w:t>
      </w:r>
      <w:r w:rsidR="00CB4550">
        <w:t>Finnish project ARKKI is currently conducting a survey on navigational</w:t>
      </w:r>
      <w:r w:rsidRPr="0034702C">
        <w:t xml:space="preserve"> </w:t>
      </w:r>
      <w:r w:rsidR="00CB4550">
        <w:t>challenges in the Arctic and will organize a seminar devoted on this issue in Olos, Finland 16-18 April 2018.</w:t>
      </w:r>
    </w:p>
    <w:p w14:paraId="5768F071" w14:textId="77777777" w:rsidR="0034702C" w:rsidRPr="0034702C" w:rsidRDefault="00EB1075" w:rsidP="0034702C">
      <w:r>
        <w:t xml:space="preserve">The </w:t>
      </w:r>
      <w:r w:rsidR="000E49BF">
        <w:t xml:space="preserve">TFICA co-Chair emphasized that user needs are in the center of the current work of the Task Force. She stressed the </w:t>
      </w:r>
      <w:r w:rsidR="0034702C" w:rsidRPr="0034702C">
        <w:t>need to tackle the digital divi</w:t>
      </w:r>
      <w:r w:rsidR="0034702C">
        <w:t>de in the Arctic</w:t>
      </w:r>
      <w:r>
        <w:t xml:space="preserve">, focusing on delivering </w:t>
      </w:r>
      <w:r w:rsidR="000E49BF">
        <w:t xml:space="preserve">connectivity solutions </w:t>
      </w:r>
      <w:r>
        <w:t xml:space="preserve">that </w:t>
      </w:r>
      <w:r w:rsidR="000E49BF">
        <w:t xml:space="preserve">are affordable and </w:t>
      </w:r>
      <w:r>
        <w:t xml:space="preserve">of </w:t>
      </w:r>
      <w:r w:rsidR="000E49BF">
        <w:t xml:space="preserve">use </w:t>
      </w:r>
      <w:r>
        <w:t xml:space="preserve">to </w:t>
      </w:r>
      <w:r w:rsidR="000E49BF">
        <w:t>Arctic inhabitants. The TFICA will have its next meeting in Washington</w:t>
      </w:r>
      <w:r>
        <w:t>,</w:t>
      </w:r>
      <w:r w:rsidR="000E49BF">
        <w:t xml:space="preserve"> DC on 16-17 May 2018. </w:t>
      </w:r>
      <w:r w:rsidR="00395EA2">
        <w:t>It</w:t>
      </w:r>
      <w:r w:rsidR="000E49BF">
        <w:t xml:space="preserve"> has invited, via the national delegations, company representatives to take part and present potential solutions </w:t>
      </w:r>
      <w:r w:rsidR="00395EA2">
        <w:t>at</w:t>
      </w:r>
      <w:r w:rsidR="000E49BF">
        <w:t xml:space="preserve"> the meeting.</w:t>
      </w:r>
    </w:p>
    <w:p w14:paraId="6FDD0088" w14:textId="77777777" w:rsidR="0034702C" w:rsidRDefault="0034702C" w:rsidP="0034702C">
      <w:r w:rsidRPr="0034702C">
        <w:t>Delegates welcomed the presentations and gave updates on national plans for new space activities, including plans to launch two new Norwegian satellites in 2022 and Swedish mini</w:t>
      </w:r>
      <w:r w:rsidR="000C6EDC">
        <w:t>-</w:t>
      </w:r>
      <w:r w:rsidRPr="0034702C">
        <w:t>satellites this year.</w:t>
      </w:r>
      <w:r w:rsidR="00E3126A">
        <w:t xml:space="preserve"> </w:t>
      </w:r>
      <w:r w:rsidRPr="0034702C">
        <w:t>Several delegates stressed the need to treat all market players on an equal footing</w:t>
      </w:r>
      <w:r w:rsidR="00971E15">
        <w:t xml:space="preserve"> in the work of the TFICA</w:t>
      </w:r>
      <w:r w:rsidRPr="0034702C">
        <w:t>. PP representatives stressed the need for</w:t>
      </w:r>
      <w:r w:rsidR="000E49BF">
        <w:t xml:space="preserve"> developing</w:t>
      </w:r>
      <w:r w:rsidRPr="0034702C">
        <w:t xml:space="preserve"> public-private partnerships. Working Groups acknowledged </w:t>
      </w:r>
      <w:r w:rsidR="00EF7B35">
        <w:t xml:space="preserve">that their awareness </w:t>
      </w:r>
      <w:r w:rsidRPr="0034702C">
        <w:t xml:space="preserve">of </w:t>
      </w:r>
      <w:r w:rsidR="00EF7B35">
        <w:t xml:space="preserve">the </w:t>
      </w:r>
      <w:r w:rsidRPr="0034702C">
        <w:t xml:space="preserve">TFICA’s work </w:t>
      </w:r>
      <w:r w:rsidR="00EF7B35">
        <w:t xml:space="preserve">could be improved, </w:t>
      </w:r>
      <w:r w:rsidRPr="0034702C">
        <w:t xml:space="preserve">and </w:t>
      </w:r>
      <w:r w:rsidR="00EF7B35">
        <w:t xml:space="preserve">they </w:t>
      </w:r>
      <w:r w:rsidRPr="0034702C">
        <w:t>provided examples of its potential benefits to th</w:t>
      </w:r>
      <w:r w:rsidR="00EF7B35">
        <w:t xml:space="preserve">eir work on issues such as </w:t>
      </w:r>
      <w:r w:rsidR="0074354C">
        <w:t xml:space="preserve">safe shipping, </w:t>
      </w:r>
      <w:r w:rsidR="00EF7B35">
        <w:t>real-</w:t>
      </w:r>
      <w:r w:rsidRPr="0034702C">
        <w:t xml:space="preserve">time information </w:t>
      </w:r>
      <w:r w:rsidR="0074354C">
        <w:t>on</w:t>
      </w:r>
      <w:r w:rsidR="00971E15">
        <w:t xml:space="preserve"> </w:t>
      </w:r>
      <w:r w:rsidRPr="0034702C">
        <w:t>sea ice</w:t>
      </w:r>
      <w:r w:rsidR="002505CF">
        <w:t>,</w:t>
      </w:r>
      <w:r w:rsidR="0074354C">
        <w:t xml:space="preserve"> and services improving the quality of life in Arctic communities</w:t>
      </w:r>
      <w:r w:rsidRPr="0034702C">
        <w:t>.</w:t>
      </w:r>
      <w:r w:rsidR="00E3126A">
        <w:t xml:space="preserve"> </w:t>
      </w:r>
    </w:p>
    <w:p w14:paraId="0C6A4750" w14:textId="77777777" w:rsidR="000742D2" w:rsidRDefault="000742D2" w:rsidP="0034702C">
      <w:r>
        <w:t xml:space="preserve">The TFICA was encouraged to be forward-looking in its work and focus on identifying user needs, exploring </w:t>
      </w:r>
      <w:r w:rsidR="005A034B">
        <w:t>p</w:t>
      </w:r>
      <w:r>
        <w:t>an-Arctic solutions and employing regional and cross-border perspective in its work. Many noted that improvement</w:t>
      </w:r>
      <w:r w:rsidR="005A034B">
        <w:t>s</w:t>
      </w:r>
      <w:r>
        <w:t xml:space="preserve"> </w:t>
      </w:r>
      <w:r w:rsidR="005A034B">
        <w:t>to</w:t>
      </w:r>
      <w:r>
        <w:t xml:space="preserve"> Arctic connectivity might best </w:t>
      </w:r>
      <w:r w:rsidR="005A034B">
        <w:t xml:space="preserve">be </w:t>
      </w:r>
      <w:r>
        <w:t>achieved with a combination of different technologies. It was also suggested that the connectivity issue should be included in the Arctic Council agenda also during future Chairmanships.</w:t>
      </w:r>
    </w:p>
    <w:p w14:paraId="643E7CBC" w14:textId="3AD04829" w:rsidR="002505CF" w:rsidRDefault="000742D2" w:rsidP="0034702C">
      <w:r>
        <w:t xml:space="preserve">The </w:t>
      </w:r>
      <w:r w:rsidR="00CC2E63">
        <w:t>r</w:t>
      </w:r>
      <w:r>
        <w:t xml:space="preserve">epresentatives </w:t>
      </w:r>
      <w:r w:rsidR="00CC2E63">
        <w:t>from the S</w:t>
      </w:r>
      <w:r w:rsidR="005A034B">
        <w:t>á</w:t>
      </w:r>
      <w:r w:rsidR="00CC2E63">
        <w:t xml:space="preserve">mi Parliament and the Saami Council </w:t>
      </w:r>
      <w:r>
        <w:t xml:space="preserve">pointed out the role of good connectivity in enabling connections to </w:t>
      </w:r>
      <w:r w:rsidR="00532515">
        <w:t xml:space="preserve">Saami living </w:t>
      </w:r>
      <w:r>
        <w:t>outside the homeland area a</w:t>
      </w:r>
      <w:r w:rsidR="00CC2E63">
        <w:t>s well as</w:t>
      </w:r>
      <w:r>
        <w:t xml:space="preserve"> </w:t>
      </w:r>
      <w:r w:rsidR="004C59A3">
        <w:t>connec</w:t>
      </w:r>
      <w:r w:rsidR="00CC2E63">
        <w:t xml:space="preserve">tions </w:t>
      </w:r>
      <w:r>
        <w:t xml:space="preserve">across borders. </w:t>
      </w:r>
      <w:r w:rsidR="00CC2E63">
        <w:t xml:space="preserve">They gave practical examples </w:t>
      </w:r>
      <w:r w:rsidR="005A034B">
        <w:t xml:space="preserve">of </w:t>
      </w:r>
      <w:r w:rsidR="00CC2E63">
        <w:t>how gaps in connectivity affect their livelihoods</w:t>
      </w:r>
      <w:r w:rsidR="004C59A3">
        <w:t xml:space="preserve"> and daily lives</w:t>
      </w:r>
      <w:r w:rsidR="00CC2E63">
        <w:t xml:space="preserve">. </w:t>
      </w:r>
      <w:r>
        <w:t xml:space="preserve">The Saami Council also raised </w:t>
      </w:r>
      <w:r w:rsidR="00532515">
        <w:t xml:space="preserve">their concern about the possible negative </w:t>
      </w:r>
      <w:r>
        <w:t>effects</w:t>
      </w:r>
      <w:r w:rsidR="004056B1">
        <w:t xml:space="preserve"> to Saami livelihoods and culture</w:t>
      </w:r>
      <w:r>
        <w:t xml:space="preserve"> of the</w:t>
      </w:r>
      <w:r w:rsidR="00532515">
        <w:t xml:space="preserve"> planned railway from </w:t>
      </w:r>
      <w:r w:rsidR="005A034B">
        <w:t>n</w:t>
      </w:r>
      <w:r w:rsidR="00532515">
        <w:t>orthern Finland to the Arctic Ocean.</w:t>
      </w:r>
    </w:p>
    <w:p w14:paraId="636D20AA" w14:textId="77777777" w:rsidR="008568D8" w:rsidRPr="0034702C" w:rsidRDefault="008568D8" w:rsidP="0034702C"/>
    <w:p w14:paraId="4C442CBC" w14:textId="77777777" w:rsidR="0034702C" w:rsidRPr="0034702C" w:rsidRDefault="0034702C" w:rsidP="0034702C">
      <w:pPr>
        <w:rPr>
          <w:b/>
        </w:rPr>
      </w:pPr>
      <w:r w:rsidRPr="0034702C">
        <w:rPr>
          <w:b/>
        </w:rPr>
        <w:lastRenderedPageBreak/>
        <w:t>Summary</w:t>
      </w:r>
      <w:r w:rsidR="00EF7B35">
        <w:rPr>
          <w:b/>
        </w:rPr>
        <w:t xml:space="preserve"> </w:t>
      </w:r>
      <w:r w:rsidRPr="0034702C">
        <w:rPr>
          <w:b/>
        </w:rPr>
        <w:t>/</w:t>
      </w:r>
      <w:r w:rsidR="00EF7B35">
        <w:rPr>
          <w:b/>
        </w:rPr>
        <w:t xml:space="preserve"> </w:t>
      </w:r>
      <w:r w:rsidRPr="0034702C">
        <w:rPr>
          <w:b/>
        </w:rPr>
        <w:t xml:space="preserve">Conclusion </w:t>
      </w:r>
    </w:p>
    <w:p w14:paraId="6E750C79" w14:textId="77777777" w:rsidR="0034702C" w:rsidRPr="0034702C" w:rsidRDefault="0034702C" w:rsidP="0034702C">
      <w:r w:rsidRPr="0034702C">
        <w:t>The SAOC concluded that connectivity was a moving target. He noted that participants had stressed maritime connectivity and the need to provide services to communities. The need to use new technologies to ensure indigenous peoples’ access to knowledge, language education</w:t>
      </w:r>
      <w:r w:rsidR="00EF7B35">
        <w:t>,</w:t>
      </w:r>
      <w:r w:rsidRPr="0034702C">
        <w:t xml:space="preserve"> and education in general was also emphasized. Many speakers referred to </w:t>
      </w:r>
      <w:r w:rsidR="00EF7B35">
        <w:t xml:space="preserve">the </w:t>
      </w:r>
      <w:r w:rsidRPr="0034702C">
        <w:t xml:space="preserve">AEC and its role. The AEC participates in </w:t>
      </w:r>
      <w:r w:rsidR="00EF7B35">
        <w:t xml:space="preserve">the </w:t>
      </w:r>
      <w:r w:rsidRPr="0034702C">
        <w:t>TFICA, it hosted a broadband summit last year</w:t>
      </w:r>
      <w:r w:rsidR="00EF7B35">
        <w:t>,</w:t>
      </w:r>
      <w:r w:rsidRPr="0034702C">
        <w:t xml:space="preserve"> and </w:t>
      </w:r>
      <w:r w:rsidR="00EF7B35">
        <w:t xml:space="preserve">it </w:t>
      </w:r>
      <w:r w:rsidRPr="0034702C">
        <w:t>will hav</w:t>
      </w:r>
      <w:r w:rsidR="00EF7B35">
        <w:t>e a broad</w:t>
      </w:r>
      <w:r w:rsidRPr="0034702C">
        <w:t>band summ</w:t>
      </w:r>
      <w:r>
        <w:t xml:space="preserve">it in Japan </w:t>
      </w:r>
      <w:r w:rsidR="007D4508">
        <w:t>in June</w:t>
      </w:r>
      <w:r>
        <w:t xml:space="preserve">. </w:t>
      </w:r>
    </w:p>
    <w:p w14:paraId="1B6C788B" w14:textId="77777777" w:rsidR="00F707DB" w:rsidRDefault="0034702C" w:rsidP="0034702C">
      <w:r w:rsidRPr="0034702C">
        <w:t xml:space="preserve">The SAOC thanked </w:t>
      </w:r>
      <w:r w:rsidR="00F337D9">
        <w:t xml:space="preserve">all </w:t>
      </w:r>
      <w:r w:rsidR="00A2055E">
        <w:t xml:space="preserve">presenters </w:t>
      </w:r>
      <w:r w:rsidR="00F337D9">
        <w:t xml:space="preserve">for their inspiring </w:t>
      </w:r>
      <w:r w:rsidR="00A2055E">
        <w:t>presentations</w:t>
      </w:r>
      <w:r w:rsidR="00F337D9">
        <w:t xml:space="preserve">. He also thanked </w:t>
      </w:r>
      <w:r w:rsidR="00A2055E">
        <w:t xml:space="preserve">the </w:t>
      </w:r>
      <w:r w:rsidR="00F337D9">
        <w:t>TFICA for taking forward its challenging work</w:t>
      </w:r>
      <w:r w:rsidR="00A2055E">
        <w:t>,</w:t>
      </w:r>
      <w:r w:rsidR="00F337D9">
        <w:t xml:space="preserve"> and </w:t>
      </w:r>
      <w:r w:rsidR="00A2055E">
        <w:t xml:space="preserve">he thanked </w:t>
      </w:r>
      <w:r w:rsidRPr="0034702C">
        <w:t xml:space="preserve">the Working Groups for explaining what role connectivity currently plays in their work and </w:t>
      </w:r>
      <w:r w:rsidR="00A2055E">
        <w:t xml:space="preserve">for </w:t>
      </w:r>
      <w:r w:rsidRPr="0034702C">
        <w:t xml:space="preserve">committing to engaging more with </w:t>
      </w:r>
      <w:r w:rsidR="00A2055E">
        <w:t xml:space="preserve">the </w:t>
      </w:r>
      <w:r w:rsidRPr="0034702C">
        <w:t xml:space="preserve">TFICA in the future after having learned about possible synergies. </w:t>
      </w:r>
    </w:p>
    <w:p w14:paraId="2B592644" w14:textId="77777777" w:rsidR="00032373" w:rsidRPr="0034702C" w:rsidRDefault="00032373" w:rsidP="0034702C"/>
    <w:p w14:paraId="161DDA45" w14:textId="77777777" w:rsidR="00DB0697" w:rsidRDefault="00DB0697" w:rsidP="00F617B5">
      <w:pPr>
        <w:pStyle w:val="Heading1"/>
      </w:pPr>
      <w:r>
        <w:t>1</w:t>
      </w:r>
      <w:r w:rsidR="00DC6B08">
        <w:t>4</w:t>
      </w:r>
      <w:r>
        <w:t>. Report from the WG-Observer session</w:t>
      </w:r>
    </w:p>
    <w:p w14:paraId="124B3B32" w14:textId="77777777" w:rsidR="00F707DB" w:rsidRPr="00B56A52" w:rsidRDefault="00F707DB" w:rsidP="00F707DB">
      <w:pPr>
        <w:rPr>
          <w:b/>
        </w:rPr>
      </w:pPr>
      <w:r w:rsidRPr="00B56A52">
        <w:rPr>
          <w:b/>
        </w:rPr>
        <w:t>Background and discussion</w:t>
      </w:r>
    </w:p>
    <w:p w14:paraId="6B2AB47E" w14:textId="77777777" w:rsidR="004169AA" w:rsidRDefault="0034702C" w:rsidP="00F707DB">
      <w:r w:rsidRPr="0034702C">
        <w:t>Working Group Chairs reported on the results of the WG-Observer session</w:t>
      </w:r>
      <w:r w:rsidR="006F0C15">
        <w:t xml:space="preserve"> on </w:t>
      </w:r>
      <w:r w:rsidR="004169AA">
        <w:t xml:space="preserve">four </w:t>
      </w:r>
      <w:r w:rsidR="006F0C15">
        <w:t xml:space="preserve">selected themes: </w:t>
      </w:r>
    </w:p>
    <w:p w14:paraId="605B42FA" w14:textId="77777777" w:rsidR="004169AA" w:rsidRDefault="006F0C15" w:rsidP="00837AD0">
      <w:pPr>
        <w:pStyle w:val="ListParagraph"/>
        <w:numPr>
          <w:ilvl w:val="0"/>
          <w:numId w:val="21"/>
        </w:numPr>
      </w:pPr>
      <w:r>
        <w:t xml:space="preserve">air pollution, in particular black carbon; </w:t>
      </w:r>
    </w:p>
    <w:p w14:paraId="28255EBE" w14:textId="77777777" w:rsidR="004169AA" w:rsidRDefault="006F0C15" w:rsidP="00837AD0">
      <w:pPr>
        <w:pStyle w:val="ListParagraph"/>
        <w:numPr>
          <w:ilvl w:val="0"/>
          <w:numId w:val="21"/>
        </w:numPr>
      </w:pPr>
      <w:r>
        <w:t>biodiversity, in particular migratory birds</w:t>
      </w:r>
      <w:r w:rsidR="004169AA">
        <w:t>;</w:t>
      </w:r>
      <w:r>
        <w:t xml:space="preserve"> </w:t>
      </w:r>
    </w:p>
    <w:p w14:paraId="3CB06468" w14:textId="77777777" w:rsidR="004169AA" w:rsidRDefault="004169AA" w:rsidP="00837AD0">
      <w:pPr>
        <w:pStyle w:val="ListParagraph"/>
        <w:numPr>
          <w:ilvl w:val="0"/>
          <w:numId w:val="21"/>
        </w:numPr>
      </w:pPr>
      <w:r>
        <w:t xml:space="preserve">the </w:t>
      </w:r>
      <w:r w:rsidR="006F0C15">
        <w:t xml:space="preserve">ecosystem approach to management and marine protected areas; and </w:t>
      </w:r>
    </w:p>
    <w:p w14:paraId="5608CB43" w14:textId="77777777" w:rsidR="004169AA" w:rsidRDefault="006F0C15" w:rsidP="00837AD0">
      <w:pPr>
        <w:pStyle w:val="ListParagraph"/>
        <w:numPr>
          <w:ilvl w:val="0"/>
          <w:numId w:val="21"/>
        </w:numPr>
      </w:pPr>
      <w:r>
        <w:t>small community engagement, including search and rescue</w:t>
      </w:r>
      <w:r w:rsidR="0034702C" w:rsidRPr="0034702C">
        <w:t xml:space="preserve">. </w:t>
      </w:r>
    </w:p>
    <w:p w14:paraId="2A6AAF3E" w14:textId="77777777" w:rsidR="006F0C15" w:rsidRDefault="0034702C" w:rsidP="00837AD0">
      <w:r w:rsidRPr="0034702C">
        <w:t xml:space="preserve">The session </w:t>
      </w:r>
      <w:r w:rsidR="004169AA">
        <w:t xml:space="preserve">was </w:t>
      </w:r>
      <w:r w:rsidRPr="0034702C">
        <w:t>a useful opportunity to improve learning and coordination and discuss possible joint initiatives.</w:t>
      </w:r>
      <w:r w:rsidR="006F0C15">
        <w:t xml:space="preserve"> More time could have been allocated to the lively discussions.</w:t>
      </w:r>
    </w:p>
    <w:p w14:paraId="59D1B88F" w14:textId="1132A4EA" w:rsidR="0034702C" w:rsidRPr="00DB2505" w:rsidRDefault="0034702C" w:rsidP="00F707DB">
      <w:r w:rsidRPr="0034702C">
        <w:t>Observers p</w:t>
      </w:r>
      <w:r w:rsidR="00EF7B35">
        <w:t>rovided advice, offered subject-</w:t>
      </w:r>
      <w:r w:rsidRPr="0034702C">
        <w:t>matter expertise</w:t>
      </w:r>
      <w:r w:rsidR="00EF7B35">
        <w:t>,</w:t>
      </w:r>
      <w:r w:rsidRPr="0034702C">
        <w:t xml:space="preserve"> and offered to host meetings on topics such as migratory birds and marine protected areas. Observers </w:t>
      </w:r>
      <w:r w:rsidR="00EF7B35">
        <w:t>also</w:t>
      </w:r>
      <w:r w:rsidRPr="0034702C">
        <w:t xml:space="preserve"> requested info on the division of </w:t>
      </w:r>
      <w:r w:rsidR="00EF7B35">
        <w:t xml:space="preserve">labor </w:t>
      </w:r>
      <w:r w:rsidRPr="0034702C">
        <w:t xml:space="preserve">between </w:t>
      </w:r>
      <w:r w:rsidR="00EF7B35">
        <w:t xml:space="preserve">WGs, and they </w:t>
      </w:r>
      <w:r w:rsidRPr="0034702C">
        <w:t xml:space="preserve">stressed the need for more detailed profiles for </w:t>
      </w:r>
      <w:r w:rsidR="00EF7B35">
        <w:t>O</w:t>
      </w:r>
      <w:r w:rsidRPr="0034702C">
        <w:t xml:space="preserve">bserver participation in order to provide the Working Groups with the right kind of expertise. </w:t>
      </w:r>
      <w:r w:rsidR="006F0C15">
        <w:t>The WGs encouraged Observer participation in their meetings.</w:t>
      </w:r>
    </w:p>
    <w:p w14:paraId="5DA23A63" w14:textId="77777777" w:rsidR="00F707DB" w:rsidRPr="00B56A52" w:rsidRDefault="00F707DB" w:rsidP="00F707DB">
      <w:pPr>
        <w:rPr>
          <w:b/>
        </w:rPr>
      </w:pPr>
      <w:r w:rsidRPr="00B56A52">
        <w:rPr>
          <w:b/>
        </w:rPr>
        <w:t>Summary / Conclusion</w:t>
      </w:r>
    </w:p>
    <w:p w14:paraId="33A6CC25" w14:textId="77777777" w:rsidR="00F707DB" w:rsidRPr="00B56A52" w:rsidRDefault="00EF7B35" w:rsidP="00F707DB">
      <w:r>
        <w:t>This item was for information.</w:t>
      </w:r>
    </w:p>
    <w:p w14:paraId="20F27BAA" w14:textId="6C8B01E8" w:rsidR="00F707DB" w:rsidRDefault="00F707DB" w:rsidP="00F707DB"/>
    <w:p w14:paraId="2BD50D8E" w14:textId="77777777" w:rsidR="008568D8" w:rsidRDefault="008568D8" w:rsidP="00F707DB"/>
    <w:p w14:paraId="117EE288" w14:textId="77777777" w:rsidR="001C685A" w:rsidRDefault="001C685A" w:rsidP="001C685A">
      <w:pPr>
        <w:pStyle w:val="Heading1"/>
      </w:pPr>
      <w:r>
        <w:lastRenderedPageBreak/>
        <w:t>15. Working Group progress reports</w:t>
      </w:r>
    </w:p>
    <w:p w14:paraId="4BC5309B" w14:textId="77777777" w:rsidR="00F707DB" w:rsidRPr="00B56A52" w:rsidRDefault="00F707DB" w:rsidP="00F707DB">
      <w:pPr>
        <w:rPr>
          <w:b/>
        </w:rPr>
      </w:pPr>
      <w:r w:rsidRPr="00B56A52">
        <w:rPr>
          <w:b/>
        </w:rPr>
        <w:t>Background and discussion</w:t>
      </w:r>
    </w:p>
    <w:p w14:paraId="66E682CC" w14:textId="1289068E" w:rsidR="00650C8B" w:rsidRDefault="00650C8B" w:rsidP="00F707DB">
      <w:r w:rsidRPr="00650C8B">
        <w:t>The SAOC invite</w:t>
      </w:r>
      <w:r w:rsidR="00EF7B35">
        <w:t xml:space="preserve">d SAOs and </w:t>
      </w:r>
      <w:r w:rsidRPr="00650C8B">
        <w:t>PPs to put forward clarifying questions or comments</w:t>
      </w:r>
      <w:r w:rsidR="00EF7B35">
        <w:t xml:space="preserve"> on the WGs’ </w:t>
      </w:r>
      <w:r w:rsidR="00F260FE">
        <w:t xml:space="preserve">2-page </w:t>
      </w:r>
      <w:r w:rsidR="00EF7B35">
        <w:t>progress reports</w:t>
      </w:r>
      <w:r w:rsidR="00F260FE">
        <w:t xml:space="preserve"> that had been provided as background material for the meeting</w:t>
      </w:r>
      <w:r w:rsidRPr="00650C8B">
        <w:t xml:space="preserve">. Several delegates commended </w:t>
      </w:r>
      <w:r w:rsidR="00EF7B35">
        <w:t xml:space="preserve">the WGs </w:t>
      </w:r>
      <w:r w:rsidRPr="00650C8B">
        <w:t>for their work, for their collaboration</w:t>
      </w:r>
      <w:r w:rsidR="00EF7B35">
        <w:t>,</w:t>
      </w:r>
      <w:r w:rsidRPr="00650C8B">
        <w:t xml:space="preserve"> for engaging in cross-cutting projects</w:t>
      </w:r>
      <w:r w:rsidR="00FD23E1">
        <w:t>, and</w:t>
      </w:r>
      <w:r w:rsidR="008A799B">
        <w:t xml:space="preserve"> for including the i</w:t>
      </w:r>
      <w:r w:rsidR="00FD23E1">
        <w:t>nput from the Observers in their</w:t>
      </w:r>
      <w:r w:rsidR="008A799B">
        <w:t xml:space="preserve"> work</w:t>
      </w:r>
      <w:r w:rsidRPr="00650C8B">
        <w:t xml:space="preserve">. Delegates referred to specific projects such as </w:t>
      </w:r>
      <w:r w:rsidR="00D61870">
        <w:t xml:space="preserve">CAFF/PAME </w:t>
      </w:r>
      <w:r w:rsidR="00EC134E">
        <w:t xml:space="preserve">work on implementation of the </w:t>
      </w:r>
      <w:r w:rsidR="00D61870">
        <w:t>A</w:t>
      </w:r>
      <w:r w:rsidRPr="00650C8B">
        <w:t xml:space="preserve">rctic </w:t>
      </w:r>
      <w:r w:rsidR="00D61870">
        <w:t>I</w:t>
      </w:r>
      <w:r w:rsidRPr="00650C8B">
        <w:t xml:space="preserve">nvasive </w:t>
      </w:r>
      <w:r w:rsidR="00EC134E">
        <w:t xml:space="preserve">Alien </w:t>
      </w:r>
      <w:r w:rsidR="00D61870">
        <w:t>S</w:t>
      </w:r>
      <w:r w:rsidRPr="00650C8B">
        <w:t xml:space="preserve">pecies </w:t>
      </w:r>
      <w:r w:rsidR="00EC134E">
        <w:t>(ARIAS) Strategy and Action Plan</w:t>
      </w:r>
      <w:r w:rsidRPr="00650C8B">
        <w:t>, ACAP’s concrete response to AMAP’s assessments, and the importance of incorporating biodiversity in all Arctic Council work.</w:t>
      </w:r>
      <w:r w:rsidR="00E3126A">
        <w:t xml:space="preserve"> </w:t>
      </w:r>
      <w:r w:rsidRPr="00650C8B">
        <w:t>EPPR and PAME were encouraged to work together on Arctic shipping accidents. The importance of Arctic wetlands to local peoples’ livelihoods was stressed. It was hoped that the Arctic Resilience Forum could be a step towards enhancing resilience in the Arctic. Iceland will be hosti</w:t>
      </w:r>
      <w:r w:rsidR="00D61870">
        <w:t>ng PAME’s Arctic Marine Litter E</w:t>
      </w:r>
      <w:r w:rsidRPr="00650C8B">
        <w:t xml:space="preserve">xpert </w:t>
      </w:r>
      <w:r w:rsidR="00D61870">
        <w:t>G</w:t>
      </w:r>
      <w:r w:rsidRPr="00650C8B">
        <w:t>roup’s first workshop in Akureyri, Iceland</w:t>
      </w:r>
      <w:r w:rsidR="00D61870">
        <w:t>, on 5-6 June 2018 and encourages</w:t>
      </w:r>
      <w:r w:rsidRPr="00650C8B">
        <w:t xml:space="preserve"> all to nominate experts to attend. </w:t>
      </w:r>
    </w:p>
    <w:p w14:paraId="3434B9CE" w14:textId="77777777" w:rsidR="00F707DB" w:rsidRPr="00B56A52" w:rsidRDefault="00F707DB" w:rsidP="00F707DB">
      <w:pPr>
        <w:rPr>
          <w:b/>
        </w:rPr>
      </w:pPr>
      <w:r w:rsidRPr="00B56A52">
        <w:rPr>
          <w:b/>
        </w:rPr>
        <w:t>Summary / Conclusion</w:t>
      </w:r>
    </w:p>
    <w:p w14:paraId="65C8EAAD" w14:textId="77777777" w:rsidR="00F707DB" w:rsidRPr="00B56A52" w:rsidRDefault="00D61870" w:rsidP="00F707DB">
      <w:r>
        <w:t>This item was for information and guidance.</w:t>
      </w:r>
    </w:p>
    <w:p w14:paraId="67DFDCB1" w14:textId="77777777" w:rsidR="00F707DB" w:rsidRDefault="00F707DB" w:rsidP="00F707DB"/>
    <w:p w14:paraId="12225715" w14:textId="77777777" w:rsidR="00F617B5" w:rsidRDefault="00923C9D" w:rsidP="00F617B5">
      <w:pPr>
        <w:pStyle w:val="Heading1"/>
      </w:pPr>
      <w:r>
        <w:t>1</w:t>
      </w:r>
      <w:r w:rsidR="001C685A">
        <w:t>6</w:t>
      </w:r>
      <w:r w:rsidR="00F617B5">
        <w:t xml:space="preserve">. </w:t>
      </w:r>
      <w:r>
        <w:t>Any other business</w:t>
      </w:r>
    </w:p>
    <w:p w14:paraId="4A737FDE" w14:textId="77777777" w:rsidR="00214FFB" w:rsidRDefault="00214FFB" w:rsidP="00214FFB">
      <w:pPr>
        <w:pStyle w:val="Heading2"/>
      </w:pPr>
      <w:r>
        <w:t>1</w:t>
      </w:r>
      <w:r w:rsidR="001C685A">
        <w:t>6</w:t>
      </w:r>
      <w:r>
        <w:t>.1. Strategy for SAON</w:t>
      </w:r>
    </w:p>
    <w:p w14:paraId="4BFD4D2D" w14:textId="77777777" w:rsidR="00650C8B" w:rsidRDefault="00650C8B" w:rsidP="00650C8B">
      <w:pPr>
        <w:rPr>
          <w:rFonts w:ascii="Calibri" w:eastAsia="Calibri" w:hAnsi="Calibri" w:cs="Times New Roman"/>
          <w:iCs/>
        </w:rPr>
      </w:pPr>
      <w:r>
        <w:rPr>
          <w:rFonts w:ascii="Calibri" w:eastAsia="Calibri" w:hAnsi="Calibri" w:cs="Times New Roman"/>
          <w:iCs/>
        </w:rPr>
        <w:t xml:space="preserve">On behalf of the SAON Board, </w:t>
      </w:r>
      <w:r w:rsidR="00A34DB2">
        <w:rPr>
          <w:rFonts w:ascii="Calibri" w:eastAsia="Calibri" w:hAnsi="Calibri" w:cs="Times New Roman"/>
          <w:iCs/>
        </w:rPr>
        <w:t>AMAP Chair</w:t>
      </w:r>
      <w:r w:rsidRPr="00712B8B">
        <w:rPr>
          <w:rFonts w:ascii="Calibri" w:eastAsia="Calibri" w:hAnsi="Calibri" w:cs="Times New Roman"/>
          <w:iCs/>
        </w:rPr>
        <w:t xml:space="preserve"> Marianne Kroglund</w:t>
      </w:r>
      <w:r>
        <w:rPr>
          <w:rFonts w:ascii="Calibri" w:eastAsia="Calibri" w:hAnsi="Calibri" w:cs="Times New Roman"/>
          <w:iCs/>
        </w:rPr>
        <w:t xml:space="preserve"> presented the strategy for SAON</w:t>
      </w:r>
      <w:r w:rsidR="00A34DB2">
        <w:rPr>
          <w:rFonts w:ascii="Calibri" w:eastAsia="Calibri" w:hAnsi="Calibri" w:cs="Times New Roman"/>
          <w:iCs/>
        </w:rPr>
        <w:t xml:space="preserve"> that </w:t>
      </w:r>
      <w:r>
        <w:rPr>
          <w:rFonts w:ascii="Calibri" w:eastAsia="Calibri" w:hAnsi="Calibri" w:cs="Times New Roman"/>
          <w:iCs/>
        </w:rPr>
        <w:t>was published in January 2018. The strategy describes SAON’s vision, mission, guiding principle</w:t>
      </w:r>
      <w:r w:rsidR="00A34DB2">
        <w:rPr>
          <w:rFonts w:ascii="Calibri" w:eastAsia="Calibri" w:hAnsi="Calibri" w:cs="Times New Roman"/>
          <w:iCs/>
        </w:rPr>
        <w:t>,</w:t>
      </w:r>
      <w:r>
        <w:rPr>
          <w:rFonts w:ascii="Calibri" w:eastAsia="Calibri" w:hAnsi="Calibri" w:cs="Times New Roman"/>
          <w:iCs/>
        </w:rPr>
        <w:t xml:space="preserve"> and goals, and outlines the manner in which the goals will be achieved. SAON’s vision is a connected, collaborative, and comprehensive long-term pan-Arctic </w:t>
      </w:r>
      <w:r w:rsidR="00A34DB2">
        <w:rPr>
          <w:rFonts w:ascii="Calibri" w:eastAsia="Calibri" w:hAnsi="Calibri" w:cs="Times New Roman"/>
          <w:iCs/>
        </w:rPr>
        <w:t>o</w:t>
      </w:r>
      <w:r>
        <w:rPr>
          <w:rFonts w:ascii="Calibri" w:eastAsia="Calibri" w:hAnsi="Calibri" w:cs="Times New Roman"/>
          <w:iCs/>
        </w:rPr>
        <w:t xml:space="preserve">bserving </w:t>
      </w:r>
      <w:r w:rsidR="00A34DB2">
        <w:rPr>
          <w:rFonts w:ascii="Calibri" w:eastAsia="Calibri" w:hAnsi="Calibri" w:cs="Times New Roman"/>
          <w:iCs/>
        </w:rPr>
        <w:t>s</w:t>
      </w:r>
      <w:r>
        <w:rPr>
          <w:rFonts w:ascii="Calibri" w:eastAsia="Calibri" w:hAnsi="Calibri" w:cs="Times New Roman"/>
          <w:iCs/>
        </w:rPr>
        <w:t xml:space="preserve">ystem that serves societal needs. </w:t>
      </w:r>
      <w:r w:rsidR="00FB3B05">
        <w:rPr>
          <w:rFonts w:ascii="Calibri" w:eastAsia="Calibri" w:hAnsi="Calibri" w:cs="Times New Roman"/>
          <w:iCs/>
        </w:rPr>
        <w:t>The SAOs and the PPs</w:t>
      </w:r>
      <w:r>
        <w:rPr>
          <w:rFonts w:ascii="Calibri" w:eastAsia="Calibri" w:hAnsi="Calibri" w:cs="Times New Roman"/>
          <w:iCs/>
        </w:rPr>
        <w:t xml:space="preserve"> </w:t>
      </w:r>
      <w:r w:rsidR="00FB3B05">
        <w:rPr>
          <w:rFonts w:ascii="Calibri" w:eastAsia="Calibri" w:hAnsi="Calibri" w:cs="Times New Roman"/>
          <w:iCs/>
        </w:rPr>
        <w:t xml:space="preserve">welcomed the strategy and </w:t>
      </w:r>
      <w:r>
        <w:rPr>
          <w:rFonts w:ascii="Calibri" w:eastAsia="Calibri" w:hAnsi="Calibri" w:cs="Times New Roman"/>
          <w:iCs/>
        </w:rPr>
        <w:t>pointed out that SAON had highly relevant principles and goals</w:t>
      </w:r>
      <w:r w:rsidR="00FB3B05">
        <w:rPr>
          <w:rFonts w:ascii="Calibri" w:eastAsia="Calibri" w:hAnsi="Calibri" w:cs="Times New Roman"/>
          <w:iCs/>
        </w:rPr>
        <w:t>. However, they raised question</w:t>
      </w:r>
      <w:r w:rsidR="004169AA">
        <w:rPr>
          <w:rFonts w:ascii="Calibri" w:eastAsia="Calibri" w:hAnsi="Calibri" w:cs="Times New Roman"/>
          <w:iCs/>
        </w:rPr>
        <w:t>s</w:t>
      </w:r>
      <w:r w:rsidR="00FB3B05">
        <w:rPr>
          <w:rFonts w:ascii="Calibri" w:eastAsia="Calibri" w:hAnsi="Calibri" w:cs="Times New Roman"/>
          <w:iCs/>
        </w:rPr>
        <w:t xml:space="preserve"> about the implementation and resources and called for </w:t>
      </w:r>
      <w:r>
        <w:rPr>
          <w:rFonts w:ascii="Calibri" w:eastAsia="Calibri" w:hAnsi="Calibri" w:cs="Times New Roman"/>
          <w:iCs/>
        </w:rPr>
        <w:t xml:space="preserve">additional funding and support </w:t>
      </w:r>
      <w:r w:rsidR="00A34DB2">
        <w:rPr>
          <w:rFonts w:ascii="Calibri" w:eastAsia="Calibri" w:hAnsi="Calibri" w:cs="Times New Roman"/>
          <w:iCs/>
        </w:rPr>
        <w:t xml:space="preserve">from </w:t>
      </w:r>
      <w:r>
        <w:rPr>
          <w:rFonts w:ascii="Calibri" w:eastAsia="Calibri" w:hAnsi="Calibri" w:cs="Times New Roman"/>
          <w:iCs/>
        </w:rPr>
        <w:t xml:space="preserve">all relevant stakeholders. </w:t>
      </w:r>
      <w:r w:rsidR="00EC134E">
        <w:rPr>
          <w:rFonts w:ascii="Calibri" w:eastAsia="Calibri" w:hAnsi="Calibri" w:cs="Times New Roman"/>
          <w:iCs/>
        </w:rPr>
        <w:t>It was noted that CAFF engaged in the development of the SAO</w:t>
      </w:r>
      <w:r w:rsidR="00E11F2C">
        <w:rPr>
          <w:rFonts w:ascii="Calibri" w:eastAsia="Calibri" w:hAnsi="Calibri" w:cs="Times New Roman"/>
          <w:iCs/>
        </w:rPr>
        <w:t xml:space="preserve">N </w:t>
      </w:r>
      <w:r w:rsidR="00EC134E">
        <w:rPr>
          <w:rFonts w:ascii="Calibri" w:eastAsia="Calibri" w:hAnsi="Calibri" w:cs="Times New Roman"/>
          <w:iCs/>
        </w:rPr>
        <w:t xml:space="preserve">Strategy and that CAFF </w:t>
      </w:r>
      <w:r w:rsidR="00E11F2C">
        <w:rPr>
          <w:rFonts w:ascii="Calibri" w:eastAsia="Calibri" w:hAnsi="Calibri" w:cs="Times New Roman"/>
          <w:iCs/>
        </w:rPr>
        <w:t xml:space="preserve">has developed </w:t>
      </w:r>
      <w:r w:rsidR="00EC134E">
        <w:rPr>
          <w:rFonts w:ascii="Calibri" w:eastAsia="Calibri" w:hAnsi="Calibri" w:cs="Times New Roman"/>
          <w:iCs/>
        </w:rPr>
        <w:t xml:space="preserve">a new </w:t>
      </w:r>
      <w:r w:rsidR="00EC134E" w:rsidRPr="00EC134E">
        <w:rPr>
          <w:rFonts w:ascii="Calibri" w:eastAsia="Calibri" w:hAnsi="Calibri" w:cs="Times New Roman"/>
          <w:iCs/>
        </w:rPr>
        <w:t>Strategic Plan</w:t>
      </w:r>
      <w:r w:rsidR="00EC134E">
        <w:rPr>
          <w:rFonts w:ascii="Calibri" w:eastAsia="Calibri" w:hAnsi="Calibri" w:cs="Times New Roman"/>
          <w:iCs/>
        </w:rPr>
        <w:t xml:space="preserve"> for the </w:t>
      </w:r>
      <w:r w:rsidR="00EC134E" w:rsidRPr="00EC134E">
        <w:rPr>
          <w:rFonts w:ascii="Calibri" w:eastAsia="Calibri" w:hAnsi="Calibri" w:cs="Times New Roman"/>
          <w:iCs/>
        </w:rPr>
        <w:t xml:space="preserve">Circumpolar Biodiversity Monitoring Program </w:t>
      </w:r>
      <w:r w:rsidR="00EC134E">
        <w:rPr>
          <w:rFonts w:ascii="Calibri" w:eastAsia="Calibri" w:hAnsi="Calibri" w:cs="Times New Roman"/>
          <w:iCs/>
        </w:rPr>
        <w:t xml:space="preserve">covering the period </w:t>
      </w:r>
      <w:r w:rsidR="00EC134E" w:rsidRPr="00EC134E">
        <w:rPr>
          <w:rFonts w:ascii="Calibri" w:eastAsia="Calibri" w:hAnsi="Calibri" w:cs="Times New Roman"/>
          <w:iCs/>
        </w:rPr>
        <w:t>2018-2021</w:t>
      </w:r>
      <w:r w:rsidR="00EC134E">
        <w:rPr>
          <w:rFonts w:ascii="Calibri" w:eastAsia="Calibri" w:hAnsi="Calibri" w:cs="Times New Roman"/>
          <w:iCs/>
        </w:rPr>
        <w:t xml:space="preserve">. </w:t>
      </w:r>
    </w:p>
    <w:p w14:paraId="4F8695E8" w14:textId="77777777" w:rsidR="00A34DB2" w:rsidRPr="00712B8B" w:rsidRDefault="00A34DB2" w:rsidP="00A34DB2">
      <w:pPr>
        <w:rPr>
          <w:rFonts w:ascii="Calibri" w:eastAsia="Calibri" w:hAnsi="Calibri" w:cs="Times New Roman"/>
          <w:iCs/>
        </w:rPr>
      </w:pPr>
      <w:r>
        <w:rPr>
          <w:rFonts w:ascii="Calibri" w:eastAsia="Calibri" w:hAnsi="Calibri" w:cs="Times New Roman"/>
          <w:iCs/>
        </w:rPr>
        <w:t xml:space="preserve">The SAOC concluded that SAON was moving in the right direction and looked forward to an update in future meetings. </w:t>
      </w:r>
    </w:p>
    <w:p w14:paraId="7931C7F5" w14:textId="77777777" w:rsidR="00F707DB" w:rsidRDefault="00F707DB" w:rsidP="00F707DB"/>
    <w:p w14:paraId="05D10AAD" w14:textId="77777777" w:rsidR="00867077" w:rsidRPr="00867077" w:rsidRDefault="00867077" w:rsidP="00867077">
      <w:pPr>
        <w:pStyle w:val="Heading2"/>
      </w:pPr>
      <w:r>
        <w:lastRenderedPageBreak/>
        <w:t>1</w:t>
      </w:r>
      <w:r w:rsidR="001C685A">
        <w:t>6</w:t>
      </w:r>
      <w:r>
        <w:t>.</w:t>
      </w:r>
      <w:r w:rsidR="00214FFB">
        <w:t>2</w:t>
      </w:r>
      <w:r>
        <w:t>. Preparations for the 2</w:t>
      </w:r>
      <w:r w:rsidRPr="00867077">
        <w:rPr>
          <w:vertAlign w:val="superscript"/>
        </w:rPr>
        <w:t>nd</w:t>
      </w:r>
      <w:r>
        <w:t xml:space="preserve"> Arctic Science Ministerial</w:t>
      </w:r>
    </w:p>
    <w:p w14:paraId="3F934E50" w14:textId="77777777" w:rsidR="004169AA" w:rsidRDefault="00650C8B" w:rsidP="00650C8B">
      <w:pPr>
        <w:rPr>
          <w:lang w:val="en-GB"/>
        </w:rPr>
      </w:pPr>
      <w:r w:rsidRPr="00650C8B">
        <w:rPr>
          <w:lang w:val="en-GB"/>
        </w:rPr>
        <w:t xml:space="preserve">On behalf of the European Commission, Germany, and Finland, Dr. Volker Rachold from the German Arctic Office </w:t>
      </w:r>
      <w:r w:rsidR="00A34DB2">
        <w:rPr>
          <w:lang w:val="en-GB"/>
        </w:rPr>
        <w:t xml:space="preserve">delivered an update on the </w:t>
      </w:r>
      <w:r w:rsidRPr="00650C8B">
        <w:rPr>
          <w:lang w:val="en-GB"/>
        </w:rPr>
        <w:t>preparation</w:t>
      </w:r>
      <w:r w:rsidR="00A34DB2">
        <w:rPr>
          <w:lang w:val="en-GB"/>
        </w:rPr>
        <w:t>s</w:t>
      </w:r>
      <w:r w:rsidRPr="00650C8B">
        <w:rPr>
          <w:lang w:val="en-GB"/>
        </w:rPr>
        <w:t xml:space="preserve"> for the 2nd Arctic Science Ministerial to be held in Berlin, Germany on 25-26 October 2018. The meeting </w:t>
      </w:r>
      <w:r w:rsidR="00A34DB2">
        <w:rPr>
          <w:lang w:val="en-GB"/>
        </w:rPr>
        <w:t xml:space="preserve">is </w:t>
      </w:r>
      <w:r w:rsidRPr="00650C8B">
        <w:rPr>
          <w:lang w:val="en-GB"/>
        </w:rPr>
        <w:t>not an Arctic Council event but</w:t>
      </w:r>
      <w:r w:rsidR="00A34DB2">
        <w:rPr>
          <w:lang w:val="en-GB"/>
        </w:rPr>
        <w:t>, rather,</w:t>
      </w:r>
      <w:r w:rsidRPr="00650C8B">
        <w:rPr>
          <w:lang w:val="en-GB"/>
        </w:rPr>
        <w:t xml:space="preserve"> a scientific activity. It </w:t>
      </w:r>
      <w:r w:rsidR="00A34DB2">
        <w:rPr>
          <w:lang w:val="en-GB"/>
        </w:rPr>
        <w:t xml:space="preserve">will </w:t>
      </w:r>
      <w:r w:rsidRPr="00650C8B">
        <w:rPr>
          <w:lang w:val="en-GB"/>
        </w:rPr>
        <w:t xml:space="preserve">consist of an Arctic Science Forum and an Arctic Science Ministerial meeting. The three themes for the meeting </w:t>
      </w:r>
      <w:r w:rsidR="00A34DB2">
        <w:rPr>
          <w:lang w:val="en-GB"/>
        </w:rPr>
        <w:t>will be</w:t>
      </w:r>
      <w:r w:rsidR="004169AA">
        <w:rPr>
          <w:lang w:val="en-GB"/>
        </w:rPr>
        <w:t>:</w:t>
      </w:r>
      <w:r w:rsidRPr="00650C8B">
        <w:rPr>
          <w:lang w:val="en-GB"/>
        </w:rPr>
        <w:t xml:space="preserve"> </w:t>
      </w:r>
    </w:p>
    <w:p w14:paraId="11302723" w14:textId="77777777" w:rsidR="004169AA" w:rsidRDefault="00A34DB2" w:rsidP="00837AD0">
      <w:pPr>
        <w:pStyle w:val="ListParagraph"/>
        <w:numPr>
          <w:ilvl w:val="0"/>
          <w:numId w:val="22"/>
        </w:numPr>
        <w:rPr>
          <w:lang w:val="en-GB"/>
        </w:rPr>
      </w:pPr>
      <w:r w:rsidRPr="00837AD0">
        <w:rPr>
          <w:lang w:val="en-GB"/>
        </w:rPr>
        <w:t>s</w:t>
      </w:r>
      <w:r w:rsidR="00650C8B" w:rsidRPr="00837AD0">
        <w:rPr>
          <w:lang w:val="en-GB"/>
        </w:rPr>
        <w:t xml:space="preserve">trengthening, integrating and sustaining Arctic observations, facilitating access to Arctic data, and sharing </w:t>
      </w:r>
      <w:r w:rsidRPr="00837AD0">
        <w:rPr>
          <w:lang w:val="en-GB"/>
        </w:rPr>
        <w:t>Arctic research infrastructure</w:t>
      </w:r>
      <w:r w:rsidR="004169AA">
        <w:rPr>
          <w:lang w:val="en-GB"/>
        </w:rPr>
        <w:t>;</w:t>
      </w:r>
    </w:p>
    <w:p w14:paraId="7F5A158B" w14:textId="77777777" w:rsidR="004169AA" w:rsidRDefault="00A34DB2" w:rsidP="00837AD0">
      <w:pPr>
        <w:pStyle w:val="ListParagraph"/>
        <w:numPr>
          <w:ilvl w:val="0"/>
          <w:numId w:val="22"/>
        </w:numPr>
        <w:rPr>
          <w:lang w:val="en-GB"/>
        </w:rPr>
      </w:pPr>
      <w:r w:rsidRPr="00837AD0">
        <w:rPr>
          <w:lang w:val="en-GB"/>
        </w:rPr>
        <w:t>u</w:t>
      </w:r>
      <w:r w:rsidR="00650C8B" w:rsidRPr="00837AD0">
        <w:rPr>
          <w:lang w:val="en-GB"/>
        </w:rPr>
        <w:t xml:space="preserve">nderstanding </w:t>
      </w:r>
      <w:r w:rsidRPr="00837AD0">
        <w:rPr>
          <w:lang w:val="en-GB"/>
        </w:rPr>
        <w:t xml:space="preserve">the </w:t>
      </w:r>
      <w:r w:rsidR="00650C8B" w:rsidRPr="00837AD0">
        <w:rPr>
          <w:lang w:val="en-GB"/>
        </w:rPr>
        <w:t>regional and global dynamics of Arctic change</w:t>
      </w:r>
      <w:r w:rsidR="004169AA">
        <w:rPr>
          <w:lang w:val="en-GB"/>
        </w:rPr>
        <w:t>;</w:t>
      </w:r>
      <w:r w:rsidR="00650C8B" w:rsidRPr="00837AD0">
        <w:rPr>
          <w:lang w:val="en-GB"/>
        </w:rPr>
        <w:t xml:space="preserve"> and </w:t>
      </w:r>
    </w:p>
    <w:p w14:paraId="3DF97FAA" w14:textId="77777777" w:rsidR="00650C8B" w:rsidRPr="00837AD0" w:rsidRDefault="00A34DB2" w:rsidP="00837AD0">
      <w:pPr>
        <w:pStyle w:val="ListParagraph"/>
        <w:numPr>
          <w:ilvl w:val="0"/>
          <w:numId w:val="22"/>
        </w:numPr>
        <w:rPr>
          <w:lang w:val="en-GB"/>
        </w:rPr>
      </w:pPr>
      <w:r w:rsidRPr="00837AD0">
        <w:rPr>
          <w:lang w:val="en-GB"/>
        </w:rPr>
        <w:t>a</w:t>
      </w:r>
      <w:r w:rsidR="00650C8B" w:rsidRPr="00837AD0">
        <w:rPr>
          <w:lang w:val="en-GB"/>
        </w:rPr>
        <w:t xml:space="preserve">ssessing vulnerability and building </w:t>
      </w:r>
      <w:r w:rsidRPr="00837AD0">
        <w:rPr>
          <w:lang w:val="en-GB"/>
        </w:rPr>
        <w:t xml:space="preserve">the </w:t>
      </w:r>
      <w:r w:rsidR="00650C8B" w:rsidRPr="00837AD0">
        <w:rPr>
          <w:lang w:val="en-GB"/>
        </w:rPr>
        <w:t xml:space="preserve">resilience of Arctic environments and societies. </w:t>
      </w:r>
    </w:p>
    <w:p w14:paraId="27A37480" w14:textId="77777777" w:rsidR="00650C8B" w:rsidRPr="00650C8B" w:rsidRDefault="00650C8B" w:rsidP="00650C8B">
      <w:pPr>
        <w:rPr>
          <w:lang w:val="en-GB"/>
        </w:rPr>
      </w:pPr>
      <w:r w:rsidRPr="00650C8B">
        <w:rPr>
          <w:lang w:val="en-GB"/>
        </w:rPr>
        <w:t xml:space="preserve">The organizers </w:t>
      </w:r>
      <w:r w:rsidR="00763D5E">
        <w:rPr>
          <w:lang w:val="en-GB"/>
        </w:rPr>
        <w:t>aim</w:t>
      </w:r>
      <w:r w:rsidRPr="00650C8B">
        <w:rPr>
          <w:lang w:val="en-GB"/>
        </w:rPr>
        <w:t xml:space="preserve"> to involve indigenous peoples in a meaningful way. The PPs of the Arctic Council </w:t>
      </w:r>
      <w:r w:rsidR="00A34DB2">
        <w:rPr>
          <w:lang w:val="en-GB"/>
        </w:rPr>
        <w:t>have been invited</w:t>
      </w:r>
      <w:r w:rsidRPr="00650C8B">
        <w:rPr>
          <w:lang w:val="en-GB"/>
        </w:rPr>
        <w:t xml:space="preserve"> not in their capacity as PPs but as representatives of Arctic indigenous peoples.</w:t>
      </w:r>
      <w:r w:rsidR="00E3126A">
        <w:rPr>
          <w:lang w:val="en-GB"/>
        </w:rPr>
        <w:t xml:space="preserve"> </w:t>
      </w:r>
      <w:r w:rsidRPr="00650C8B">
        <w:rPr>
          <w:lang w:val="en-GB"/>
        </w:rPr>
        <w:t xml:space="preserve">Germany </w:t>
      </w:r>
      <w:r w:rsidR="00A34DB2">
        <w:rPr>
          <w:lang w:val="en-GB"/>
        </w:rPr>
        <w:t xml:space="preserve">will </w:t>
      </w:r>
      <w:r w:rsidRPr="00650C8B">
        <w:rPr>
          <w:lang w:val="en-GB"/>
        </w:rPr>
        <w:t xml:space="preserve">cover their travel costs. The Saami Council thanked </w:t>
      </w:r>
      <w:r w:rsidR="00A34DB2">
        <w:rPr>
          <w:lang w:val="en-GB"/>
        </w:rPr>
        <w:t xml:space="preserve">the organizers </w:t>
      </w:r>
      <w:r w:rsidRPr="00650C8B">
        <w:rPr>
          <w:lang w:val="en-GB"/>
        </w:rPr>
        <w:t xml:space="preserve">for the funding provided to </w:t>
      </w:r>
      <w:r w:rsidR="00A34DB2">
        <w:rPr>
          <w:lang w:val="en-GB"/>
        </w:rPr>
        <w:t>i</w:t>
      </w:r>
      <w:r w:rsidRPr="00650C8B">
        <w:rPr>
          <w:lang w:val="en-GB"/>
        </w:rPr>
        <w:t>ndigenous peoples’ representatives.</w:t>
      </w:r>
    </w:p>
    <w:p w14:paraId="44B920E0" w14:textId="77777777" w:rsidR="00650C8B" w:rsidRPr="00650C8B" w:rsidRDefault="00650C8B" w:rsidP="00650C8B">
      <w:pPr>
        <w:rPr>
          <w:lang w:val="en-GB"/>
        </w:rPr>
      </w:pPr>
      <w:r w:rsidRPr="00650C8B">
        <w:rPr>
          <w:lang w:val="en-GB"/>
        </w:rPr>
        <w:t>AMAP Chair Marianne Kroglund encouraged the organizers to engage the Arctic Council Working Groups in the preparations for the conference</w:t>
      </w:r>
      <w:r w:rsidR="00A34DB2">
        <w:rPr>
          <w:lang w:val="en-GB"/>
        </w:rPr>
        <w:t>; t</w:t>
      </w:r>
      <w:r w:rsidRPr="00650C8B">
        <w:rPr>
          <w:lang w:val="en-GB"/>
        </w:rPr>
        <w:t xml:space="preserve">he organizers </w:t>
      </w:r>
      <w:r w:rsidR="00A34DB2">
        <w:rPr>
          <w:lang w:val="en-GB"/>
        </w:rPr>
        <w:t xml:space="preserve">said that they </w:t>
      </w:r>
      <w:r w:rsidRPr="00650C8B">
        <w:rPr>
          <w:lang w:val="en-GB"/>
        </w:rPr>
        <w:t>would look into this issue.</w:t>
      </w:r>
      <w:r w:rsidR="00E3126A">
        <w:rPr>
          <w:lang w:val="en-GB"/>
        </w:rPr>
        <w:t xml:space="preserve"> </w:t>
      </w:r>
      <w:r w:rsidRPr="00650C8B">
        <w:rPr>
          <w:lang w:val="en-GB"/>
        </w:rPr>
        <w:t xml:space="preserve">The SAOC noted that it was up to all </w:t>
      </w:r>
      <w:r w:rsidR="00A34DB2">
        <w:rPr>
          <w:lang w:val="en-GB"/>
        </w:rPr>
        <w:t xml:space="preserve">States </w:t>
      </w:r>
      <w:r w:rsidRPr="00650C8B">
        <w:rPr>
          <w:lang w:val="en-GB"/>
        </w:rPr>
        <w:t>to ensure coordination between their Arctic Council representatives and the participants to the meeting in Berlin.</w:t>
      </w:r>
    </w:p>
    <w:p w14:paraId="0D2F0B11" w14:textId="77777777" w:rsidR="00F707DB" w:rsidRDefault="00F707DB" w:rsidP="00F707DB"/>
    <w:p w14:paraId="60C84EE9" w14:textId="77777777" w:rsidR="00867077" w:rsidRDefault="00867077" w:rsidP="00867077">
      <w:pPr>
        <w:pStyle w:val="Heading2"/>
      </w:pPr>
      <w:r>
        <w:t>1</w:t>
      </w:r>
      <w:r w:rsidR="001C685A">
        <w:t>6</w:t>
      </w:r>
      <w:r>
        <w:t>.</w:t>
      </w:r>
      <w:r w:rsidR="00E83F7B">
        <w:t>3</w:t>
      </w:r>
      <w:r>
        <w:t>. Agreement on Prevention of Unregulated Commercial Fishing in the Arctic High Seas</w:t>
      </w:r>
    </w:p>
    <w:p w14:paraId="7F882246" w14:textId="2DCD3A85" w:rsidR="00650C8B" w:rsidRDefault="00650C8B" w:rsidP="00650C8B">
      <w:r>
        <w:t xml:space="preserve">SAO for the </w:t>
      </w:r>
      <w:r w:rsidR="00957ACB">
        <w:t xml:space="preserve">U.S. </w:t>
      </w:r>
      <w:r>
        <w:t>Julia Gourley i</w:t>
      </w:r>
      <w:r w:rsidR="00957ACB">
        <w:t>nformed the participants that the</w:t>
      </w:r>
      <w:r>
        <w:t xml:space="preserve"> Agreement on Prevention of Unregulated Commercial Fishing in the Arctic High Seas was concluded on </w:t>
      </w:r>
      <w:r w:rsidR="00957ACB">
        <w:t xml:space="preserve">30 </w:t>
      </w:r>
      <w:r>
        <w:t xml:space="preserve">November 2017 by the five Arctic coastal states of </w:t>
      </w:r>
      <w:r w:rsidR="00957ACB">
        <w:t xml:space="preserve">Canada, the Kingdom of Denmark, </w:t>
      </w:r>
      <w:r>
        <w:t>Norway, Russia</w:t>
      </w:r>
      <w:r w:rsidR="00BD7D24">
        <w:t>n Federation</w:t>
      </w:r>
      <w:r>
        <w:t xml:space="preserve">, </w:t>
      </w:r>
      <w:r w:rsidR="00957ACB">
        <w:t xml:space="preserve">and </w:t>
      </w:r>
      <w:r>
        <w:t xml:space="preserve">the </w:t>
      </w:r>
      <w:r w:rsidR="00957ACB">
        <w:t>U.S.</w:t>
      </w:r>
      <w:r>
        <w:t xml:space="preserve">, as well as </w:t>
      </w:r>
      <w:r w:rsidR="00392A93">
        <w:t xml:space="preserve">China, </w:t>
      </w:r>
      <w:r>
        <w:t>Japan, South Korea, Iceland</w:t>
      </w:r>
      <w:r w:rsidR="00957ACB">
        <w:t>,</w:t>
      </w:r>
      <w:r>
        <w:t xml:space="preserve"> and the EU. It </w:t>
      </w:r>
      <w:r w:rsidR="00110E6E">
        <w:t>will be</w:t>
      </w:r>
      <w:r>
        <w:t xml:space="preserve"> a legally binding agreement and the signatories </w:t>
      </w:r>
      <w:r w:rsidR="00110E6E">
        <w:t xml:space="preserve">will </w:t>
      </w:r>
      <w:r>
        <w:t xml:space="preserve">commit to abstain from any future unregulated commercial fishing in the international waters of the Arctic Ocean. The agreement will also facilitate collaborative international research to keep track of fish stocks and ecosystems in the area. The agreement will be in force for 16 years with subsequent </w:t>
      </w:r>
      <w:r w:rsidR="00E76422">
        <w:t xml:space="preserve">automatic </w:t>
      </w:r>
      <w:r>
        <w:t xml:space="preserve">five-year extensions unless </w:t>
      </w:r>
      <w:r w:rsidR="00957ACB">
        <w:t>a Party to the agreement</w:t>
      </w:r>
      <w:r>
        <w:t xml:space="preserve"> actively objects. </w:t>
      </w:r>
    </w:p>
    <w:p w14:paraId="2497CB45" w14:textId="77777777" w:rsidR="00746078" w:rsidRDefault="00650C8B" w:rsidP="00650C8B">
      <w:r>
        <w:t xml:space="preserve">The agreement is due to be signed this summer. The </w:t>
      </w:r>
      <w:r w:rsidR="00957ACB">
        <w:t xml:space="preserve">Kingdom of Denmark </w:t>
      </w:r>
      <w:r>
        <w:t>stated that Greenland would like to offer to host the signing of the ag</w:t>
      </w:r>
      <w:r w:rsidR="00957ACB">
        <w:t>reement. The ICC thanked Canada, the Kingdom of Denmark</w:t>
      </w:r>
      <w:r>
        <w:t>, and the U</w:t>
      </w:r>
      <w:r w:rsidR="00957ACB">
        <w:t>.</w:t>
      </w:r>
      <w:r>
        <w:t>S</w:t>
      </w:r>
      <w:r w:rsidR="00957ACB">
        <w:t>.</w:t>
      </w:r>
      <w:r>
        <w:t xml:space="preserve"> for including ICC delegates in their national delegations to the negotiations.</w:t>
      </w:r>
      <w:r w:rsidR="00137B0B">
        <w:t xml:space="preserve"> </w:t>
      </w:r>
    </w:p>
    <w:p w14:paraId="6E5DE902" w14:textId="77777777" w:rsidR="00F707DB" w:rsidRDefault="00137B0B" w:rsidP="00650C8B">
      <w:r>
        <w:t xml:space="preserve">Special </w:t>
      </w:r>
      <w:r w:rsidR="00746078">
        <w:t>appreciation was</w:t>
      </w:r>
      <w:r>
        <w:t xml:space="preserve"> expressed </w:t>
      </w:r>
      <w:r w:rsidR="00746078">
        <w:t xml:space="preserve">for the contribution of </w:t>
      </w:r>
      <w:r>
        <w:t xml:space="preserve">Ambassador David Balton </w:t>
      </w:r>
      <w:r w:rsidR="00746078">
        <w:t>in</w:t>
      </w:r>
      <w:r>
        <w:t xml:space="preserve"> his role as the chief negotiator of the agreement.</w:t>
      </w:r>
    </w:p>
    <w:p w14:paraId="23C0F4DA" w14:textId="77777777" w:rsidR="00F707DB" w:rsidRDefault="00F707DB" w:rsidP="00F707DB"/>
    <w:p w14:paraId="3C7E243D" w14:textId="77777777" w:rsidR="00DA20A4" w:rsidRDefault="00A05E84" w:rsidP="00DA20A4">
      <w:pPr>
        <w:pStyle w:val="Heading2"/>
      </w:pPr>
      <w:r>
        <w:t>1</w:t>
      </w:r>
      <w:r w:rsidR="001C685A">
        <w:t>6</w:t>
      </w:r>
      <w:r w:rsidR="00DA20A4">
        <w:t>.</w:t>
      </w:r>
      <w:r w:rsidR="00E83F7B">
        <w:t>4</w:t>
      </w:r>
      <w:r w:rsidR="00DA20A4">
        <w:t>. Joint Russia-U.S. proposal on the establishment of two-way routes and precautionary areas in the Bering Sea and Bering Strait</w:t>
      </w:r>
    </w:p>
    <w:p w14:paraId="4E411838" w14:textId="77777777" w:rsidR="00650C8B" w:rsidRPr="00650C8B" w:rsidRDefault="00E905D0" w:rsidP="00650C8B">
      <w:pPr>
        <w:rPr>
          <w:iCs/>
        </w:rPr>
      </w:pPr>
      <w:r>
        <w:rPr>
          <w:iCs/>
        </w:rPr>
        <w:t>SAO for the Russian Federation</w:t>
      </w:r>
      <w:r w:rsidR="00650C8B" w:rsidRPr="00650C8B">
        <w:rPr>
          <w:iCs/>
        </w:rPr>
        <w:t xml:space="preserve"> Vla</w:t>
      </w:r>
      <w:r>
        <w:rPr>
          <w:iCs/>
        </w:rPr>
        <w:t>dimir Barbin</w:t>
      </w:r>
      <w:r w:rsidR="00650C8B" w:rsidRPr="00650C8B">
        <w:rPr>
          <w:iCs/>
        </w:rPr>
        <w:t xml:space="preserve"> and SAO for the </w:t>
      </w:r>
      <w:r>
        <w:rPr>
          <w:iCs/>
        </w:rPr>
        <w:t>U.S. Julia Gourley</w:t>
      </w:r>
      <w:r w:rsidR="00650C8B" w:rsidRPr="00650C8B">
        <w:rPr>
          <w:iCs/>
        </w:rPr>
        <w:t xml:space="preserve"> presented a </w:t>
      </w:r>
      <w:r w:rsidR="00E76422">
        <w:rPr>
          <w:iCs/>
        </w:rPr>
        <w:t>j</w:t>
      </w:r>
      <w:r w:rsidR="00650C8B" w:rsidRPr="00650C8B">
        <w:rPr>
          <w:iCs/>
        </w:rPr>
        <w:t>oint Russia-U.S. proposal on the establishment of two-way routes and precautionary areas in the Bering Sea and Bering Strait. The proposal demonstrated continued U</w:t>
      </w:r>
      <w:r>
        <w:rPr>
          <w:iCs/>
        </w:rPr>
        <w:t>.</w:t>
      </w:r>
      <w:r w:rsidR="00650C8B" w:rsidRPr="00650C8B">
        <w:rPr>
          <w:iCs/>
        </w:rPr>
        <w:t>S</w:t>
      </w:r>
      <w:r>
        <w:rPr>
          <w:iCs/>
        </w:rPr>
        <w:t>.</w:t>
      </w:r>
      <w:r w:rsidR="00650C8B" w:rsidRPr="00650C8B">
        <w:rPr>
          <w:iCs/>
        </w:rPr>
        <w:t xml:space="preserve"> and Russian cooperation in the Arctic.</w:t>
      </w:r>
    </w:p>
    <w:p w14:paraId="324AF0F0" w14:textId="354ADE5A" w:rsidR="00650C8B" w:rsidRPr="00650C8B" w:rsidRDefault="00650C8B" w:rsidP="00650C8B">
      <w:pPr>
        <w:rPr>
          <w:iCs/>
        </w:rPr>
      </w:pPr>
      <w:r w:rsidRPr="00650C8B">
        <w:rPr>
          <w:iCs/>
        </w:rPr>
        <w:t xml:space="preserve">Increased shipping in the Bering Sea and Bering Strait has given rise to higher risks of shipping collisions and environmental impacts from shipping. Based on </w:t>
      </w:r>
      <w:r w:rsidR="008F3698">
        <w:rPr>
          <w:iCs/>
        </w:rPr>
        <w:t>this</w:t>
      </w:r>
      <w:r w:rsidRPr="00650C8B">
        <w:rPr>
          <w:iCs/>
        </w:rPr>
        <w:t xml:space="preserve"> analysis, the U</w:t>
      </w:r>
      <w:r w:rsidR="007C747B">
        <w:rPr>
          <w:iCs/>
        </w:rPr>
        <w:t>.</w:t>
      </w:r>
      <w:r w:rsidRPr="00650C8B">
        <w:rPr>
          <w:iCs/>
        </w:rPr>
        <w:t>S</w:t>
      </w:r>
      <w:r w:rsidR="007C747B">
        <w:rPr>
          <w:iCs/>
        </w:rPr>
        <w:t>.</w:t>
      </w:r>
      <w:r w:rsidRPr="00650C8B">
        <w:rPr>
          <w:iCs/>
        </w:rPr>
        <w:t xml:space="preserve"> and Russia</w:t>
      </w:r>
      <w:r w:rsidR="00BD7D24">
        <w:rPr>
          <w:iCs/>
        </w:rPr>
        <w:t>n Federation</w:t>
      </w:r>
      <w:r w:rsidRPr="00650C8B">
        <w:rPr>
          <w:iCs/>
        </w:rPr>
        <w:t xml:space="preserve"> have jointly developed a </w:t>
      </w:r>
      <w:r w:rsidR="007C747B">
        <w:rPr>
          <w:iCs/>
        </w:rPr>
        <w:t xml:space="preserve">proposal on </w:t>
      </w:r>
      <w:r w:rsidRPr="00650C8B">
        <w:rPr>
          <w:iCs/>
        </w:rPr>
        <w:t>routing measures.</w:t>
      </w:r>
      <w:r w:rsidR="00E3126A">
        <w:rPr>
          <w:iCs/>
        </w:rPr>
        <w:t xml:space="preserve"> </w:t>
      </w:r>
      <w:r w:rsidRPr="00650C8B">
        <w:rPr>
          <w:iCs/>
        </w:rPr>
        <w:t xml:space="preserve">The proposal contains six two-way routes and precautionary areas to be avoided to increase maritime security and safeguard wildlife habitats. The Russian SAO thanked </w:t>
      </w:r>
      <w:r w:rsidR="007C747B">
        <w:rPr>
          <w:iCs/>
        </w:rPr>
        <w:t xml:space="preserve">the </w:t>
      </w:r>
      <w:r w:rsidRPr="00650C8B">
        <w:rPr>
          <w:iCs/>
        </w:rPr>
        <w:t>WWF for encouraging Russia and the U</w:t>
      </w:r>
      <w:r w:rsidR="007C747B">
        <w:rPr>
          <w:iCs/>
        </w:rPr>
        <w:t>.</w:t>
      </w:r>
      <w:r w:rsidRPr="00650C8B">
        <w:rPr>
          <w:iCs/>
        </w:rPr>
        <w:t>S</w:t>
      </w:r>
      <w:r w:rsidR="007C747B">
        <w:rPr>
          <w:iCs/>
        </w:rPr>
        <w:t>.</w:t>
      </w:r>
      <w:r w:rsidRPr="00650C8B">
        <w:rPr>
          <w:iCs/>
        </w:rPr>
        <w:t xml:space="preserve"> to propose such measures. The proposal was approved by the IMO subcommittee on search and rescue (SAR) in February 2018. The proposal has now been submitted to the 99</w:t>
      </w:r>
      <w:r w:rsidRPr="00650C8B">
        <w:rPr>
          <w:iCs/>
          <w:vertAlign w:val="superscript"/>
        </w:rPr>
        <w:t>th</w:t>
      </w:r>
      <w:r w:rsidRPr="00650C8B">
        <w:rPr>
          <w:iCs/>
        </w:rPr>
        <w:t xml:space="preserve"> session of the IMO marine safety committee. It will enter into force six months after the safety committee’s approval. </w:t>
      </w:r>
    </w:p>
    <w:p w14:paraId="000A03CE" w14:textId="77777777" w:rsidR="00F707DB" w:rsidRDefault="00650C8B" w:rsidP="00F707DB">
      <w:r w:rsidRPr="00650C8B">
        <w:t xml:space="preserve">The SAOC thanked </w:t>
      </w:r>
      <w:r w:rsidR="007C747B">
        <w:t xml:space="preserve">Russia and the U.S. </w:t>
      </w:r>
      <w:r w:rsidRPr="00650C8B">
        <w:t xml:space="preserve">for the information provided on this </w:t>
      </w:r>
      <w:r w:rsidR="00C268B0">
        <w:t>proposal</w:t>
      </w:r>
      <w:r w:rsidRPr="00650C8B">
        <w:t xml:space="preserve"> of significance for the Arctic region</w:t>
      </w:r>
      <w:r w:rsidR="00A314F9">
        <w:t xml:space="preserve"> and for Arctic cooperation in general.</w:t>
      </w:r>
    </w:p>
    <w:p w14:paraId="1B40966F" w14:textId="77777777" w:rsidR="00650C8B" w:rsidRPr="00650C8B" w:rsidRDefault="00650C8B" w:rsidP="00650C8B">
      <w:pPr>
        <w:pStyle w:val="Heading2"/>
      </w:pPr>
      <w:r w:rsidRPr="00650C8B">
        <w:t>16.5</w:t>
      </w:r>
      <w:r>
        <w:t>.</w:t>
      </w:r>
      <w:r w:rsidRPr="00650C8B">
        <w:t xml:space="preserve"> Information by the Kingdom of Denmark on two upcoming meetings</w:t>
      </w:r>
    </w:p>
    <w:p w14:paraId="17D7D454" w14:textId="77777777" w:rsidR="00650C8B" w:rsidRPr="00650C8B" w:rsidRDefault="00650C8B" w:rsidP="00650C8B">
      <w:pPr>
        <w:rPr>
          <w:iCs/>
        </w:rPr>
      </w:pPr>
      <w:r w:rsidRPr="00650C8B">
        <w:rPr>
          <w:iCs/>
        </w:rPr>
        <w:t xml:space="preserve">The Kingdom of Denmark reminded participants </w:t>
      </w:r>
      <w:r w:rsidR="00E76422">
        <w:rPr>
          <w:iCs/>
        </w:rPr>
        <w:t>of</w:t>
      </w:r>
      <w:r w:rsidR="00E76422" w:rsidRPr="00650C8B">
        <w:rPr>
          <w:iCs/>
        </w:rPr>
        <w:t xml:space="preserve"> </w:t>
      </w:r>
      <w:r w:rsidRPr="00650C8B">
        <w:rPr>
          <w:iCs/>
        </w:rPr>
        <w:t>the</w:t>
      </w:r>
      <w:r w:rsidR="00E76422">
        <w:rPr>
          <w:iCs/>
        </w:rPr>
        <w:t xml:space="preserve"> celebration of the</w:t>
      </w:r>
      <w:r w:rsidRPr="00650C8B">
        <w:rPr>
          <w:iCs/>
        </w:rPr>
        <w:t xml:space="preserve"> 10</w:t>
      </w:r>
      <w:r w:rsidRPr="00650C8B">
        <w:rPr>
          <w:iCs/>
          <w:vertAlign w:val="superscript"/>
        </w:rPr>
        <w:t>th</w:t>
      </w:r>
      <w:r w:rsidRPr="00650C8B">
        <w:rPr>
          <w:iCs/>
        </w:rPr>
        <w:t xml:space="preserve"> anniversary of the Ilulissat declaration</w:t>
      </w:r>
      <w:r w:rsidR="00E76422">
        <w:rPr>
          <w:iCs/>
        </w:rPr>
        <w:t>,</w:t>
      </w:r>
      <w:r w:rsidRPr="00650C8B">
        <w:rPr>
          <w:iCs/>
        </w:rPr>
        <w:t xml:space="preserve"> which will take place on 23 May in Ilulissat</w:t>
      </w:r>
      <w:r w:rsidR="007C747B">
        <w:rPr>
          <w:iCs/>
        </w:rPr>
        <w:t>, Greenland</w:t>
      </w:r>
      <w:r w:rsidRPr="00650C8B">
        <w:rPr>
          <w:iCs/>
        </w:rPr>
        <w:t xml:space="preserve">. The Arctic States and the PPs </w:t>
      </w:r>
      <w:r w:rsidR="007C747B">
        <w:rPr>
          <w:iCs/>
        </w:rPr>
        <w:t xml:space="preserve">have </w:t>
      </w:r>
      <w:r w:rsidRPr="00650C8B">
        <w:rPr>
          <w:iCs/>
        </w:rPr>
        <w:t xml:space="preserve">all been invited. High-level political participation </w:t>
      </w:r>
      <w:r w:rsidR="00C268B0">
        <w:rPr>
          <w:iCs/>
        </w:rPr>
        <w:t>would be</w:t>
      </w:r>
      <w:r w:rsidRPr="00650C8B">
        <w:rPr>
          <w:iCs/>
        </w:rPr>
        <w:t xml:space="preserve"> important to send a strong signal about Arctic cooperation. In case Ministers of Foreign Affairs were </w:t>
      </w:r>
      <w:r w:rsidR="007C747B">
        <w:rPr>
          <w:iCs/>
        </w:rPr>
        <w:t xml:space="preserve">themselves </w:t>
      </w:r>
      <w:r w:rsidRPr="00650C8B">
        <w:rPr>
          <w:iCs/>
        </w:rPr>
        <w:t xml:space="preserve">unable to join, the participation of other </w:t>
      </w:r>
      <w:r w:rsidR="007C747B">
        <w:rPr>
          <w:iCs/>
        </w:rPr>
        <w:t>M</w:t>
      </w:r>
      <w:r w:rsidRPr="00650C8B">
        <w:rPr>
          <w:iCs/>
        </w:rPr>
        <w:t>inisters would also be welc</w:t>
      </w:r>
      <w:r w:rsidR="007C747B">
        <w:rPr>
          <w:iCs/>
        </w:rPr>
        <w:t>ome. Special block bookings have been made to accommodate participants.</w:t>
      </w:r>
    </w:p>
    <w:p w14:paraId="4DF95DE0" w14:textId="77777777" w:rsidR="00650C8B" w:rsidRPr="00650C8B" w:rsidRDefault="00650C8B" w:rsidP="00650C8B">
      <w:pPr>
        <w:rPr>
          <w:iCs/>
        </w:rPr>
      </w:pPr>
      <w:r w:rsidRPr="00650C8B">
        <w:rPr>
          <w:iCs/>
        </w:rPr>
        <w:t>The Kingdom of Denmark w</w:t>
      </w:r>
      <w:r w:rsidR="004D5276">
        <w:rPr>
          <w:iCs/>
        </w:rPr>
        <w:t>ill</w:t>
      </w:r>
      <w:r w:rsidRPr="00650C8B">
        <w:rPr>
          <w:iCs/>
        </w:rPr>
        <w:t xml:space="preserve"> also be hosting the </w:t>
      </w:r>
      <w:r w:rsidR="007C747B">
        <w:rPr>
          <w:iCs/>
        </w:rPr>
        <w:t>n</w:t>
      </w:r>
      <w:r w:rsidRPr="00650C8B">
        <w:rPr>
          <w:iCs/>
        </w:rPr>
        <w:t>ext Ar</w:t>
      </w:r>
      <w:r w:rsidR="00E76422">
        <w:rPr>
          <w:iCs/>
        </w:rPr>
        <w:t>ctic</w:t>
      </w:r>
      <w:r w:rsidRPr="00650C8B">
        <w:rPr>
          <w:iCs/>
        </w:rPr>
        <w:t xml:space="preserve"> Circle Forum in Tórshavn on 8-9 May</w:t>
      </w:r>
      <w:r w:rsidR="007C747B">
        <w:rPr>
          <w:iCs/>
        </w:rPr>
        <w:t xml:space="preserve"> 2018</w:t>
      </w:r>
      <w:r w:rsidRPr="00650C8B">
        <w:rPr>
          <w:iCs/>
        </w:rPr>
        <w:t xml:space="preserve">. Stakeholders were invited to explore the successes and challenges in building dynamic economies and sustainable communities in the Arctic. </w:t>
      </w:r>
    </w:p>
    <w:p w14:paraId="72933F87" w14:textId="77777777" w:rsidR="00650C8B" w:rsidRPr="00650C8B" w:rsidRDefault="00650C8B" w:rsidP="00650C8B">
      <w:pPr>
        <w:rPr>
          <w:iCs/>
        </w:rPr>
      </w:pPr>
      <w:r w:rsidRPr="00650C8B">
        <w:rPr>
          <w:iCs/>
        </w:rPr>
        <w:t>***</w:t>
      </w:r>
    </w:p>
    <w:p w14:paraId="15F90021" w14:textId="77777777" w:rsidR="007C747B" w:rsidRDefault="00650C8B" w:rsidP="00650C8B">
      <w:pPr>
        <w:rPr>
          <w:iCs/>
        </w:rPr>
      </w:pPr>
      <w:r w:rsidRPr="00650C8B">
        <w:rPr>
          <w:iCs/>
        </w:rPr>
        <w:t>The SAOC thanked all delegates for their active participation</w:t>
      </w:r>
      <w:r w:rsidR="007C747B">
        <w:rPr>
          <w:iCs/>
        </w:rPr>
        <w:t>. He also</w:t>
      </w:r>
      <w:r w:rsidRPr="00650C8B">
        <w:rPr>
          <w:iCs/>
        </w:rPr>
        <w:t xml:space="preserve"> thanked all </w:t>
      </w:r>
      <w:r w:rsidR="007C747B">
        <w:rPr>
          <w:iCs/>
        </w:rPr>
        <w:t xml:space="preserve">those who contributed to the full week of meetings, including </w:t>
      </w:r>
      <w:r w:rsidRPr="00650C8B">
        <w:rPr>
          <w:iCs/>
        </w:rPr>
        <w:t>national and local authorities and organizations, local tourist enterprises</w:t>
      </w:r>
      <w:r w:rsidR="007C747B">
        <w:rPr>
          <w:iCs/>
        </w:rPr>
        <w:t xml:space="preserve">, the team from Finland’s Ministry for Foreign Affairs, </w:t>
      </w:r>
      <w:r w:rsidRPr="00650C8B">
        <w:rPr>
          <w:iCs/>
        </w:rPr>
        <w:t xml:space="preserve">and the ACS. </w:t>
      </w:r>
    </w:p>
    <w:p w14:paraId="2333672A" w14:textId="00C7BB89" w:rsidR="00650C8B" w:rsidRDefault="007C747B" w:rsidP="00006F1F">
      <w:r>
        <w:rPr>
          <w:iCs/>
        </w:rPr>
        <w:t>The next SAO plenary meeting will be held in Rovaniemi, Finland on 1-2 November 2018.</w:t>
      </w:r>
    </w:p>
    <w:sectPr w:rsidR="00650C8B" w:rsidSect="00345D97">
      <w:headerReference w:type="default" r:id="rId17"/>
      <w:footerReference w:type="default" r:id="rId1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8958" w14:textId="77777777" w:rsidR="00691758" w:rsidRDefault="00691758" w:rsidP="00A71311">
      <w:pPr>
        <w:spacing w:after="0" w:line="240" w:lineRule="auto"/>
      </w:pPr>
      <w:r>
        <w:separator/>
      </w:r>
    </w:p>
  </w:endnote>
  <w:endnote w:type="continuationSeparator" w:id="0">
    <w:p w14:paraId="23244E8E" w14:textId="77777777" w:rsidR="00691758" w:rsidRDefault="00691758" w:rsidP="00A71311">
      <w:pPr>
        <w:spacing w:after="0" w:line="240" w:lineRule="auto"/>
      </w:pPr>
      <w:r>
        <w:continuationSeparator/>
      </w:r>
    </w:p>
  </w:endnote>
  <w:endnote w:type="continuationNotice" w:id="1">
    <w:p w14:paraId="1AF6EB02" w14:textId="77777777" w:rsidR="00691758" w:rsidRDefault="00691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Usual">
    <w:altName w:val="Trebuchet MS"/>
    <w:panose1 w:val="020B0604020202020204"/>
    <w:charset w:val="00"/>
    <w:family w:val="swiss"/>
    <w:notTrueType/>
    <w:pitch w:val="variable"/>
    <w:sig w:usb0="00000007" w:usb1="00000000"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C326" w14:textId="77777777" w:rsidR="00B01CD8" w:rsidRDefault="00B01CD8">
    <w:pPr>
      <w:pStyle w:val="Footer"/>
    </w:pPr>
    <w:r w:rsidRPr="009A08AC">
      <w:rPr>
        <w:i/>
      </w:rPr>
      <w:tab/>
    </w:r>
    <w:r>
      <w:rPr>
        <w:i/>
      </w:rPr>
      <w:t xml:space="preserve">This is page </w:t>
    </w:r>
    <w:r>
      <w:fldChar w:fldCharType="begin"/>
    </w:r>
    <w:r>
      <w:instrText xml:space="preserve"> PAGE   \* MERGEFORMAT </w:instrText>
    </w:r>
    <w:r>
      <w:fldChar w:fldCharType="separate"/>
    </w:r>
    <w:r w:rsidR="002654B5" w:rsidRPr="002654B5">
      <w:rPr>
        <w:i/>
        <w:noProof/>
      </w:rPr>
      <w:t>19</w:t>
    </w:r>
    <w:r>
      <w:rPr>
        <w:i/>
        <w:noProof/>
      </w:rPr>
      <w:fldChar w:fldCharType="end"/>
    </w:r>
    <w:r>
      <w:rPr>
        <w:i/>
      </w:rPr>
      <w:t xml:space="preserve"> of </w:t>
    </w:r>
    <w:r w:rsidR="00E646D2">
      <w:fldChar w:fldCharType="begin"/>
    </w:r>
    <w:r w:rsidR="00E646D2">
      <w:instrText xml:space="preserve"> NUMPAGES   \* MERGEFORMAT </w:instrText>
    </w:r>
    <w:r w:rsidR="00E646D2">
      <w:fldChar w:fldCharType="separate"/>
    </w:r>
    <w:r w:rsidR="002654B5" w:rsidRPr="002654B5">
      <w:rPr>
        <w:i/>
        <w:noProof/>
      </w:rPr>
      <w:t>20</w:t>
    </w:r>
    <w:r w:rsidR="00E646D2">
      <w:rPr>
        <w:i/>
        <w:noProof/>
      </w:rPr>
      <w:fldChar w:fldCharType="end"/>
    </w:r>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D9261" w14:textId="77777777" w:rsidR="00691758" w:rsidRDefault="00691758" w:rsidP="00A71311">
      <w:pPr>
        <w:spacing w:after="0" w:line="240" w:lineRule="auto"/>
      </w:pPr>
      <w:r>
        <w:separator/>
      </w:r>
    </w:p>
  </w:footnote>
  <w:footnote w:type="continuationSeparator" w:id="0">
    <w:p w14:paraId="3FEF6AF9" w14:textId="77777777" w:rsidR="00691758" w:rsidRDefault="00691758" w:rsidP="00A71311">
      <w:pPr>
        <w:spacing w:after="0" w:line="240" w:lineRule="auto"/>
      </w:pPr>
      <w:r>
        <w:continuationSeparator/>
      </w:r>
    </w:p>
  </w:footnote>
  <w:footnote w:type="continuationNotice" w:id="1">
    <w:p w14:paraId="77E97B5E" w14:textId="77777777" w:rsidR="00691758" w:rsidRDefault="00691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08DC" w14:textId="77777777" w:rsidR="00B01CD8" w:rsidRPr="00B56A52" w:rsidRDefault="00B01CD8" w:rsidP="00A71311">
    <w:pPr>
      <w:pStyle w:val="Header"/>
      <w:jc w:val="right"/>
      <w:rPr>
        <w:noProof/>
      </w:rPr>
    </w:pPr>
    <w:r w:rsidRPr="00225D03">
      <w:rPr>
        <w:noProof/>
      </w:rPr>
      <w:drawing>
        <wp:anchor distT="0" distB="0" distL="114300" distR="114300" simplePos="0" relativeHeight="251658240" behindDoc="0" locked="0" layoutInCell="1" allowOverlap="1" wp14:anchorId="0D52C4C4" wp14:editId="3B534F12">
          <wp:simplePos x="0" y="0"/>
          <wp:positionH relativeFrom="margin">
            <wp:align>left</wp:align>
          </wp:positionH>
          <wp:positionV relativeFrom="paragraph">
            <wp:posOffset>10795</wp:posOffset>
          </wp:positionV>
          <wp:extent cx="1285578" cy="365760"/>
          <wp:effectExtent l="0" t="0" r="0" b="0"/>
          <wp:wrapSquare wrapText="bothSides"/>
          <wp:docPr id="2" name="Picture 2" descr="C:\Users\tom\Documents\Dropbox\Arctic stuff\1 Arctic Council\Images\Favorites for AC Use\logo_arctic_counci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Dropbox\Arctic stuff\1 Arctic Council\Images\Favorites for AC Use\logo_arctic_council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578" cy="365760"/>
                  </a:xfrm>
                  <a:prstGeom prst="rect">
                    <a:avLst/>
                  </a:prstGeom>
                  <a:noFill/>
                  <a:ln>
                    <a:noFill/>
                  </a:ln>
                </pic:spPr>
              </pic:pic>
            </a:graphicData>
          </a:graphic>
        </wp:anchor>
      </w:drawing>
    </w:r>
    <w:r w:rsidRPr="00B56A52">
      <w:rPr>
        <w:noProof/>
      </w:rPr>
      <w:t>SAO plenary meeting SAOFI202</w:t>
    </w:r>
  </w:p>
  <w:p w14:paraId="2CBFA874" w14:textId="77777777" w:rsidR="00B01CD8" w:rsidRPr="00B56A52" w:rsidRDefault="00B01CD8" w:rsidP="00A71311">
    <w:pPr>
      <w:pStyle w:val="Header"/>
      <w:jc w:val="right"/>
    </w:pPr>
    <w:r w:rsidRPr="00B56A52">
      <w:rPr>
        <w:noProof/>
      </w:rPr>
      <w:t>Levi, Finland | March 2018</w:t>
    </w:r>
  </w:p>
  <w:p w14:paraId="6A75D13C" w14:textId="77777777" w:rsidR="00B01CD8" w:rsidRPr="00B56A52" w:rsidRDefault="00B01CD8">
    <w:pPr>
      <w:pStyle w:val="Header"/>
    </w:pPr>
  </w:p>
  <w:p w14:paraId="44E8D592" w14:textId="77777777" w:rsidR="00B01CD8" w:rsidRPr="00B56A52" w:rsidRDefault="00B0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6127"/>
    <w:multiLevelType w:val="hybridMultilevel"/>
    <w:tmpl w:val="CFB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25F36"/>
    <w:multiLevelType w:val="hybridMultilevel"/>
    <w:tmpl w:val="DBAA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B6AA7"/>
    <w:multiLevelType w:val="hybridMultilevel"/>
    <w:tmpl w:val="A8A2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421D8"/>
    <w:multiLevelType w:val="hybridMultilevel"/>
    <w:tmpl w:val="26B8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B693F"/>
    <w:multiLevelType w:val="hybridMultilevel"/>
    <w:tmpl w:val="D1D6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1AF8"/>
    <w:multiLevelType w:val="hybridMultilevel"/>
    <w:tmpl w:val="B008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35E27"/>
    <w:multiLevelType w:val="hybridMultilevel"/>
    <w:tmpl w:val="851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45A35"/>
    <w:multiLevelType w:val="hybridMultilevel"/>
    <w:tmpl w:val="EBC6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84546"/>
    <w:multiLevelType w:val="hybridMultilevel"/>
    <w:tmpl w:val="A3AC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269A5"/>
    <w:multiLevelType w:val="hybridMultilevel"/>
    <w:tmpl w:val="501A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B313C"/>
    <w:multiLevelType w:val="hybridMultilevel"/>
    <w:tmpl w:val="FF60BB2C"/>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1" w15:restartNumberingAfterBreak="0">
    <w:nsid w:val="4B2162C7"/>
    <w:multiLevelType w:val="hybridMultilevel"/>
    <w:tmpl w:val="62D4D48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2" w15:restartNumberingAfterBreak="0">
    <w:nsid w:val="509A7D05"/>
    <w:multiLevelType w:val="hybridMultilevel"/>
    <w:tmpl w:val="F1C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55747"/>
    <w:multiLevelType w:val="hybridMultilevel"/>
    <w:tmpl w:val="58FACE5E"/>
    <w:lvl w:ilvl="0" w:tplc="88C43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1715F"/>
    <w:multiLevelType w:val="hybridMultilevel"/>
    <w:tmpl w:val="477E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82615"/>
    <w:multiLevelType w:val="hybridMultilevel"/>
    <w:tmpl w:val="485C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E768E"/>
    <w:multiLevelType w:val="hybridMultilevel"/>
    <w:tmpl w:val="34866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C23201"/>
    <w:multiLevelType w:val="hybridMultilevel"/>
    <w:tmpl w:val="34A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40CC9"/>
    <w:multiLevelType w:val="hybridMultilevel"/>
    <w:tmpl w:val="868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24D1A"/>
    <w:multiLevelType w:val="hybridMultilevel"/>
    <w:tmpl w:val="48D23692"/>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0" w15:restartNumberingAfterBreak="0">
    <w:nsid w:val="6D940FB6"/>
    <w:multiLevelType w:val="hybridMultilevel"/>
    <w:tmpl w:val="F9C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27143"/>
    <w:multiLevelType w:val="hybridMultilevel"/>
    <w:tmpl w:val="ED50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0"/>
  </w:num>
  <w:num w:numId="4">
    <w:abstractNumId w:val="8"/>
  </w:num>
  <w:num w:numId="5">
    <w:abstractNumId w:val="21"/>
  </w:num>
  <w:num w:numId="6">
    <w:abstractNumId w:val="18"/>
  </w:num>
  <w:num w:numId="7">
    <w:abstractNumId w:val="16"/>
  </w:num>
  <w:num w:numId="8">
    <w:abstractNumId w:val="4"/>
  </w:num>
  <w:num w:numId="9">
    <w:abstractNumId w:val="0"/>
  </w:num>
  <w:num w:numId="10">
    <w:abstractNumId w:val="5"/>
  </w:num>
  <w:num w:numId="11">
    <w:abstractNumId w:val="15"/>
  </w:num>
  <w:num w:numId="12">
    <w:abstractNumId w:val="3"/>
  </w:num>
  <w:num w:numId="13">
    <w:abstractNumId w:val="6"/>
  </w:num>
  <w:num w:numId="14">
    <w:abstractNumId w:val="10"/>
  </w:num>
  <w:num w:numId="15">
    <w:abstractNumId w:val="11"/>
  </w:num>
  <w:num w:numId="16">
    <w:abstractNumId w:val="19"/>
  </w:num>
  <w:num w:numId="17">
    <w:abstractNumId w:val="14"/>
  </w:num>
  <w:num w:numId="18">
    <w:abstractNumId w:val="2"/>
  </w:num>
  <w:num w:numId="19">
    <w:abstractNumId w:val="12"/>
  </w:num>
  <w:num w:numId="20">
    <w:abstractNumId w:val="7"/>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trackRevisions/>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D8"/>
    <w:rsid w:val="00006F1F"/>
    <w:rsid w:val="00011DF2"/>
    <w:rsid w:val="000123B0"/>
    <w:rsid w:val="00013924"/>
    <w:rsid w:val="00014829"/>
    <w:rsid w:val="000202E8"/>
    <w:rsid w:val="00021BAF"/>
    <w:rsid w:val="0003073E"/>
    <w:rsid w:val="00032373"/>
    <w:rsid w:val="00042F83"/>
    <w:rsid w:val="00043BDB"/>
    <w:rsid w:val="000529A8"/>
    <w:rsid w:val="00052EF2"/>
    <w:rsid w:val="00053EB5"/>
    <w:rsid w:val="00062013"/>
    <w:rsid w:val="000633E1"/>
    <w:rsid w:val="000635ED"/>
    <w:rsid w:val="00063DB7"/>
    <w:rsid w:val="00064D67"/>
    <w:rsid w:val="00066BA8"/>
    <w:rsid w:val="00067F86"/>
    <w:rsid w:val="0007199A"/>
    <w:rsid w:val="00072753"/>
    <w:rsid w:val="000742D2"/>
    <w:rsid w:val="00083F74"/>
    <w:rsid w:val="00091CAA"/>
    <w:rsid w:val="00096B4B"/>
    <w:rsid w:val="000A0802"/>
    <w:rsid w:val="000A2F53"/>
    <w:rsid w:val="000A3981"/>
    <w:rsid w:val="000A712A"/>
    <w:rsid w:val="000B74A3"/>
    <w:rsid w:val="000B7780"/>
    <w:rsid w:val="000C3205"/>
    <w:rsid w:val="000C6DA8"/>
    <w:rsid w:val="000C6EDC"/>
    <w:rsid w:val="000E46B6"/>
    <w:rsid w:val="000E49BF"/>
    <w:rsid w:val="000E4B9C"/>
    <w:rsid w:val="00103D1B"/>
    <w:rsid w:val="0010532C"/>
    <w:rsid w:val="00106575"/>
    <w:rsid w:val="00110E6E"/>
    <w:rsid w:val="00110F61"/>
    <w:rsid w:val="00111F6A"/>
    <w:rsid w:val="00113E1B"/>
    <w:rsid w:val="00117FC8"/>
    <w:rsid w:val="00121A50"/>
    <w:rsid w:val="00123E77"/>
    <w:rsid w:val="00124229"/>
    <w:rsid w:val="00135932"/>
    <w:rsid w:val="00137B0B"/>
    <w:rsid w:val="00141765"/>
    <w:rsid w:val="00142284"/>
    <w:rsid w:val="00142954"/>
    <w:rsid w:val="00144139"/>
    <w:rsid w:val="00151533"/>
    <w:rsid w:val="001535C0"/>
    <w:rsid w:val="00154717"/>
    <w:rsid w:val="00160914"/>
    <w:rsid w:val="00160EFB"/>
    <w:rsid w:val="00164D3C"/>
    <w:rsid w:val="00165B3C"/>
    <w:rsid w:val="00165D5C"/>
    <w:rsid w:val="00167A2A"/>
    <w:rsid w:val="0017076C"/>
    <w:rsid w:val="0017593A"/>
    <w:rsid w:val="00176C77"/>
    <w:rsid w:val="00180541"/>
    <w:rsid w:val="001817A1"/>
    <w:rsid w:val="00182B33"/>
    <w:rsid w:val="00185973"/>
    <w:rsid w:val="00193E61"/>
    <w:rsid w:val="001945D5"/>
    <w:rsid w:val="001B4D37"/>
    <w:rsid w:val="001B5A27"/>
    <w:rsid w:val="001B647F"/>
    <w:rsid w:val="001C0A88"/>
    <w:rsid w:val="001C1433"/>
    <w:rsid w:val="001C4E3D"/>
    <w:rsid w:val="001C685A"/>
    <w:rsid w:val="001D2D8B"/>
    <w:rsid w:val="001D4982"/>
    <w:rsid w:val="001D70BC"/>
    <w:rsid w:val="001E2D50"/>
    <w:rsid w:val="001E6769"/>
    <w:rsid w:val="001F31A9"/>
    <w:rsid w:val="001F6E51"/>
    <w:rsid w:val="00201178"/>
    <w:rsid w:val="002148C1"/>
    <w:rsid w:val="00214FFB"/>
    <w:rsid w:val="00216446"/>
    <w:rsid w:val="00217CEC"/>
    <w:rsid w:val="002251BB"/>
    <w:rsid w:val="00225471"/>
    <w:rsid w:val="00225D03"/>
    <w:rsid w:val="002268F3"/>
    <w:rsid w:val="00226BA8"/>
    <w:rsid w:val="00227C9D"/>
    <w:rsid w:val="0023133F"/>
    <w:rsid w:val="00234177"/>
    <w:rsid w:val="002347C9"/>
    <w:rsid w:val="00236CED"/>
    <w:rsid w:val="00237AAA"/>
    <w:rsid w:val="00245914"/>
    <w:rsid w:val="002505CF"/>
    <w:rsid w:val="0025543B"/>
    <w:rsid w:val="002638D5"/>
    <w:rsid w:val="00264AA7"/>
    <w:rsid w:val="002654B5"/>
    <w:rsid w:val="00272381"/>
    <w:rsid w:val="00273A28"/>
    <w:rsid w:val="002772EB"/>
    <w:rsid w:val="00277A55"/>
    <w:rsid w:val="002809B7"/>
    <w:rsid w:val="00283D14"/>
    <w:rsid w:val="00291FB4"/>
    <w:rsid w:val="00294C01"/>
    <w:rsid w:val="00295141"/>
    <w:rsid w:val="00296E46"/>
    <w:rsid w:val="002976BB"/>
    <w:rsid w:val="00297A0A"/>
    <w:rsid w:val="002A03AA"/>
    <w:rsid w:val="002A32C4"/>
    <w:rsid w:val="002A3958"/>
    <w:rsid w:val="002A60D7"/>
    <w:rsid w:val="002B39AB"/>
    <w:rsid w:val="002B4974"/>
    <w:rsid w:val="002C5B64"/>
    <w:rsid w:val="002C5FAD"/>
    <w:rsid w:val="002C7C7E"/>
    <w:rsid w:val="002D049F"/>
    <w:rsid w:val="002D0B35"/>
    <w:rsid w:val="002D34DF"/>
    <w:rsid w:val="002E2833"/>
    <w:rsid w:val="002F0BAA"/>
    <w:rsid w:val="002F20B3"/>
    <w:rsid w:val="002F4481"/>
    <w:rsid w:val="002F5C36"/>
    <w:rsid w:val="003005D1"/>
    <w:rsid w:val="00303A71"/>
    <w:rsid w:val="00303CCC"/>
    <w:rsid w:val="00310A01"/>
    <w:rsid w:val="00312B2E"/>
    <w:rsid w:val="00312C40"/>
    <w:rsid w:val="00325800"/>
    <w:rsid w:val="003261CD"/>
    <w:rsid w:val="00326864"/>
    <w:rsid w:val="00327E83"/>
    <w:rsid w:val="00333D9B"/>
    <w:rsid w:val="0033712F"/>
    <w:rsid w:val="00342D0C"/>
    <w:rsid w:val="00345B9D"/>
    <w:rsid w:val="00345D97"/>
    <w:rsid w:val="00346709"/>
    <w:rsid w:val="0034702C"/>
    <w:rsid w:val="00351752"/>
    <w:rsid w:val="0035298C"/>
    <w:rsid w:val="003533A8"/>
    <w:rsid w:val="003541B8"/>
    <w:rsid w:val="003541DD"/>
    <w:rsid w:val="00356367"/>
    <w:rsid w:val="00361C67"/>
    <w:rsid w:val="00364CFA"/>
    <w:rsid w:val="003661D5"/>
    <w:rsid w:val="003671E4"/>
    <w:rsid w:val="00374434"/>
    <w:rsid w:val="0038470B"/>
    <w:rsid w:val="003861DD"/>
    <w:rsid w:val="003876E5"/>
    <w:rsid w:val="003908B9"/>
    <w:rsid w:val="00392268"/>
    <w:rsid w:val="003925C7"/>
    <w:rsid w:val="00392A93"/>
    <w:rsid w:val="00392FB9"/>
    <w:rsid w:val="003931A2"/>
    <w:rsid w:val="00395EA2"/>
    <w:rsid w:val="00396C62"/>
    <w:rsid w:val="003A25F4"/>
    <w:rsid w:val="003B6330"/>
    <w:rsid w:val="003C0B3E"/>
    <w:rsid w:val="003C0FAB"/>
    <w:rsid w:val="003C2524"/>
    <w:rsid w:val="003D204A"/>
    <w:rsid w:val="003D27B4"/>
    <w:rsid w:val="003D40F1"/>
    <w:rsid w:val="003D5431"/>
    <w:rsid w:val="003D7E25"/>
    <w:rsid w:val="003E314B"/>
    <w:rsid w:val="003F0E09"/>
    <w:rsid w:val="003F1CF6"/>
    <w:rsid w:val="003F3B87"/>
    <w:rsid w:val="003F62CD"/>
    <w:rsid w:val="00400DD0"/>
    <w:rsid w:val="00402828"/>
    <w:rsid w:val="00404A04"/>
    <w:rsid w:val="0040554B"/>
    <w:rsid w:val="004056B1"/>
    <w:rsid w:val="0040791E"/>
    <w:rsid w:val="00407D71"/>
    <w:rsid w:val="00413927"/>
    <w:rsid w:val="00414399"/>
    <w:rsid w:val="004169AA"/>
    <w:rsid w:val="0041718C"/>
    <w:rsid w:val="00420896"/>
    <w:rsid w:val="0043121C"/>
    <w:rsid w:val="00431E14"/>
    <w:rsid w:val="00433321"/>
    <w:rsid w:val="00435779"/>
    <w:rsid w:val="00437622"/>
    <w:rsid w:val="00440B37"/>
    <w:rsid w:val="004410BD"/>
    <w:rsid w:val="00444059"/>
    <w:rsid w:val="00446B7C"/>
    <w:rsid w:val="00452ACB"/>
    <w:rsid w:val="0045515D"/>
    <w:rsid w:val="004604AA"/>
    <w:rsid w:val="00464032"/>
    <w:rsid w:val="00465EB7"/>
    <w:rsid w:val="00466EE5"/>
    <w:rsid w:val="00470E0E"/>
    <w:rsid w:val="004769CE"/>
    <w:rsid w:val="00480243"/>
    <w:rsid w:val="00481BED"/>
    <w:rsid w:val="00484682"/>
    <w:rsid w:val="00485442"/>
    <w:rsid w:val="0048567E"/>
    <w:rsid w:val="00492E6D"/>
    <w:rsid w:val="00492F54"/>
    <w:rsid w:val="004946B7"/>
    <w:rsid w:val="004962E2"/>
    <w:rsid w:val="0049649B"/>
    <w:rsid w:val="004A0BCD"/>
    <w:rsid w:val="004A218A"/>
    <w:rsid w:val="004A2245"/>
    <w:rsid w:val="004A37C6"/>
    <w:rsid w:val="004B3923"/>
    <w:rsid w:val="004C1B80"/>
    <w:rsid w:val="004C59A3"/>
    <w:rsid w:val="004C653C"/>
    <w:rsid w:val="004D0194"/>
    <w:rsid w:val="004D0AD9"/>
    <w:rsid w:val="004D1A8D"/>
    <w:rsid w:val="004D25BD"/>
    <w:rsid w:val="004D4620"/>
    <w:rsid w:val="004D5276"/>
    <w:rsid w:val="004D68C4"/>
    <w:rsid w:val="004D6AEB"/>
    <w:rsid w:val="004D6F80"/>
    <w:rsid w:val="004E2D42"/>
    <w:rsid w:val="004E74FE"/>
    <w:rsid w:val="004E7AB7"/>
    <w:rsid w:val="004F243E"/>
    <w:rsid w:val="004F3A9B"/>
    <w:rsid w:val="00500376"/>
    <w:rsid w:val="00510E6B"/>
    <w:rsid w:val="00517140"/>
    <w:rsid w:val="00520C7C"/>
    <w:rsid w:val="0052174C"/>
    <w:rsid w:val="00527260"/>
    <w:rsid w:val="005307DF"/>
    <w:rsid w:val="00532515"/>
    <w:rsid w:val="00534B25"/>
    <w:rsid w:val="00537462"/>
    <w:rsid w:val="00552137"/>
    <w:rsid w:val="00554330"/>
    <w:rsid w:val="00557D45"/>
    <w:rsid w:val="00562CF9"/>
    <w:rsid w:val="00563863"/>
    <w:rsid w:val="00573912"/>
    <w:rsid w:val="00575224"/>
    <w:rsid w:val="00577CBB"/>
    <w:rsid w:val="005860A5"/>
    <w:rsid w:val="00586C35"/>
    <w:rsid w:val="0059069D"/>
    <w:rsid w:val="00596A15"/>
    <w:rsid w:val="00596D1F"/>
    <w:rsid w:val="00597459"/>
    <w:rsid w:val="00597C12"/>
    <w:rsid w:val="005A034B"/>
    <w:rsid w:val="005A0BA6"/>
    <w:rsid w:val="005A3A64"/>
    <w:rsid w:val="005A422A"/>
    <w:rsid w:val="005B2E4F"/>
    <w:rsid w:val="005C0613"/>
    <w:rsid w:val="005C3772"/>
    <w:rsid w:val="005C476D"/>
    <w:rsid w:val="005C5DAA"/>
    <w:rsid w:val="005C7563"/>
    <w:rsid w:val="005E0C1A"/>
    <w:rsid w:val="005E29C8"/>
    <w:rsid w:val="005E374D"/>
    <w:rsid w:val="005E407A"/>
    <w:rsid w:val="005E45D5"/>
    <w:rsid w:val="005E7112"/>
    <w:rsid w:val="005F080E"/>
    <w:rsid w:val="005F18BF"/>
    <w:rsid w:val="005F6723"/>
    <w:rsid w:val="00600C03"/>
    <w:rsid w:val="006034F5"/>
    <w:rsid w:val="00605203"/>
    <w:rsid w:val="00605992"/>
    <w:rsid w:val="00605A62"/>
    <w:rsid w:val="0060764D"/>
    <w:rsid w:val="00610401"/>
    <w:rsid w:val="00612077"/>
    <w:rsid w:val="00614E67"/>
    <w:rsid w:val="0061635E"/>
    <w:rsid w:val="00624141"/>
    <w:rsid w:val="006265F8"/>
    <w:rsid w:val="00631775"/>
    <w:rsid w:val="00633DE8"/>
    <w:rsid w:val="0063510C"/>
    <w:rsid w:val="00641907"/>
    <w:rsid w:val="00647617"/>
    <w:rsid w:val="00650C8B"/>
    <w:rsid w:val="00652984"/>
    <w:rsid w:val="006547FE"/>
    <w:rsid w:val="00663FD9"/>
    <w:rsid w:val="00666ABE"/>
    <w:rsid w:val="00683468"/>
    <w:rsid w:val="00683776"/>
    <w:rsid w:val="00691758"/>
    <w:rsid w:val="00692066"/>
    <w:rsid w:val="00697B06"/>
    <w:rsid w:val="006A5366"/>
    <w:rsid w:val="006A6E7E"/>
    <w:rsid w:val="006B1258"/>
    <w:rsid w:val="006B36FA"/>
    <w:rsid w:val="006B3AFC"/>
    <w:rsid w:val="006B657F"/>
    <w:rsid w:val="006C15E1"/>
    <w:rsid w:val="006C2722"/>
    <w:rsid w:val="006D58F7"/>
    <w:rsid w:val="006D6279"/>
    <w:rsid w:val="006D67E1"/>
    <w:rsid w:val="006E6425"/>
    <w:rsid w:val="006F0C15"/>
    <w:rsid w:val="006F27E4"/>
    <w:rsid w:val="006F2A44"/>
    <w:rsid w:val="006F4159"/>
    <w:rsid w:val="006F56CF"/>
    <w:rsid w:val="006F5FC2"/>
    <w:rsid w:val="006F63AC"/>
    <w:rsid w:val="006F76C6"/>
    <w:rsid w:val="006F7C07"/>
    <w:rsid w:val="007050F9"/>
    <w:rsid w:val="007057BF"/>
    <w:rsid w:val="007127D8"/>
    <w:rsid w:val="0071517C"/>
    <w:rsid w:val="007205F1"/>
    <w:rsid w:val="00723626"/>
    <w:rsid w:val="00723BDB"/>
    <w:rsid w:val="00724BDF"/>
    <w:rsid w:val="0073160C"/>
    <w:rsid w:val="00732805"/>
    <w:rsid w:val="00740E2B"/>
    <w:rsid w:val="0074354C"/>
    <w:rsid w:val="0074411A"/>
    <w:rsid w:val="00746078"/>
    <w:rsid w:val="007468D6"/>
    <w:rsid w:val="00750C82"/>
    <w:rsid w:val="00752F72"/>
    <w:rsid w:val="007537CF"/>
    <w:rsid w:val="007546F3"/>
    <w:rsid w:val="00754968"/>
    <w:rsid w:val="00756389"/>
    <w:rsid w:val="00763D5E"/>
    <w:rsid w:val="00764550"/>
    <w:rsid w:val="007654C7"/>
    <w:rsid w:val="007760DE"/>
    <w:rsid w:val="00780C13"/>
    <w:rsid w:val="00780C4A"/>
    <w:rsid w:val="00782EA3"/>
    <w:rsid w:val="00785EAB"/>
    <w:rsid w:val="00791D6F"/>
    <w:rsid w:val="00794AAC"/>
    <w:rsid w:val="00795592"/>
    <w:rsid w:val="007A3CCB"/>
    <w:rsid w:val="007A4B1E"/>
    <w:rsid w:val="007A552E"/>
    <w:rsid w:val="007A59DC"/>
    <w:rsid w:val="007A69E7"/>
    <w:rsid w:val="007B5369"/>
    <w:rsid w:val="007B5375"/>
    <w:rsid w:val="007B74E8"/>
    <w:rsid w:val="007C3F7E"/>
    <w:rsid w:val="007C4BAC"/>
    <w:rsid w:val="007C668B"/>
    <w:rsid w:val="007C68BF"/>
    <w:rsid w:val="007C747B"/>
    <w:rsid w:val="007D08E8"/>
    <w:rsid w:val="007D347F"/>
    <w:rsid w:val="007D4508"/>
    <w:rsid w:val="007D4BC2"/>
    <w:rsid w:val="007D7DC8"/>
    <w:rsid w:val="007E282F"/>
    <w:rsid w:val="007F217B"/>
    <w:rsid w:val="007F3B57"/>
    <w:rsid w:val="007F6163"/>
    <w:rsid w:val="007F7805"/>
    <w:rsid w:val="00800A3E"/>
    <w:rsid w:val="0081238E"/>
    <w:rsid w:val="00814914"/>
    <w:rsid w:val="0081573D"/>
    <w:rsid w:val="0081725F"/>
    <w:rsid w:val="00822FEE"/>
    <w:rsid w:val="00823FBF"/>
    <w:rsid w:val="00827D14"/>
    <w:rsid w:val="00830D3E"/>
    <w:rsid w:val="0083124D"/>
    <w:rsid w:val="00834C0A"/>
    <w:rsid w:val="008362B2"/>
    <w:rsid w:val="00836F3B"/>
    <w:rsid w:val="00837AD0"/>
    <w:rsid w:val="00856873"/>
    <w:rsid w:val="008568D8"/>
    <w:rsid w:val="00867077"/>
    <w:rsid w:val="00871CD5"/>
    <w:rsid w:val="00872A0F"/>
    <w:rsid w:val="00872F7E"/>
    <w:rsid w:val="008749FD"/>
    <w:rsid w:val="00886362"/>
    <w:rsid w:val="00886BEA"/>
    <w:rsid w:val="00895A83"/>
    <w:rsid w:val="008A1B67"/>
    <w:rsid w:val="008A4DA8"/>
    <w:rsid w:val="008A6EC9"/>
    <w:rsid w:val="008A7166"/>
    <w:rsid w:val="008A799B"/>
    <w:rsid w:val="008B3191"/>
    <w:rsid w:val="008B64A6"/>
    <w:rsid w:val="008B6C65"/>
    <w:rsid w:val="008B7600"/>
    <w:rsid w:val="008C6A03"/>
    <w:rsid w:val="008D66E5"/>
    <w:rsid w:val="008E22A1"/>
    <w:rsid w:val="008E237D"/>
    <w:rsid w:val="008E436C"/>
    <w:rsid w:val="008E6045"/>
    <w:rsid w:val="008F3698"/>
    <w:rsid w:val="008F4FE3"/>
    <w:rsid w:val="008F77E5"/>
    <w:rsid w:val="00900F24"/>
    <w:rsid w:val="00911FDC"/>
    <w:rsid w:val="0092020B"/>
    <w:rsid w:val="00923C9D"/>
    <w:rsid w:val="009258E8"/>
    <w:rsid w:val="00926469"/>
    <w:rsid w:val="0093188C"/>
    <w:rsid w:val="009321E5"/>
    <w:rsid w:val="009327C2"/>
    <w:rsid w:val="00933E6D"/>
    <w:rsid w:val="00941A3B"/>
    <w:rsid w:val="00946FE7"/>
    <w:rsid w:val="009504A6"/>
    <w:rsid w:val="00951BD8"/>
    <w:rsid w:val="00957ACB"/>
    <w:rsid w:val="009618AD"/>
    <w:rsid w:val="00963E96"/>
    <w:rsid w:val="0096474A"/>
    <w:rsid w:val="00966AC4"/>
    <w:rsid w:val="00971E15"/>
    <w:rsid w:val="00972A1C"/>
    <w:rsid w:val="00974C0E"/>
    <w:rsid w:val="0097545D"/>
    <w:rsid w:val="00976CE1"/>
    <w:rsid w:val="009778ED"/>
    <w:rsid w:val="00982205"/>
    <w:rsid w:val="00982D33"/>
    <w:rsid w:val="0099284B"/>
    <w:rsid w:val="009A2255"/>
    <w:rsid w:val="009A5380"/>
    <w:rsid w:val="009B01A0"/>
    <w:rsid w:val="009B7DE1"/>
    <w:rsid w:val="009C00D0"/>
    <w:rsid w:val="009C4534"/>
    <w:rsid w:val="009D05E9"/>
    <w:rsid w:val="009D2499"/>
    <w:rsid w:val="009D6E87"/>
    <w:rsid w:val="009E21CA"/>
    <w:rsid w:val="009F21BD"/>
    <w:rsid w:val="009F25CA"/>
    <w:rsid w:val="009F42C1"/>
    <w:rsid w:val="009F5B0C"/>
    <w:rsid w:val="009F5C37"/>
    <w:rsid w:val="009F6D83"/>
    <w:rsid w:val="009F7056"/>
    <w:rsid w:val="00A02ECA"/>
    <w:rsid w:val="00A038C6"/>
    <w:rsid w:val="00A0522B"/>
    <w:rsid w:val="00A05E84"/>
    <w:rsid w:val="00A0758A"/>
    <w:rsid w:val="00A12ACD"/>
    <w:rsid w:val="00A15797"/>
    <w:rsid w:val="00A20509"/>
    <w:rsid w:val="00A2055E"/>
    <w:rsid w:val="00A26A21"/>
    <w:rsid w:val="00A3041A"/>
    <w:rsid w:val="00A314F9"/>
    <w:rsid w:val="00A31EC7"/>
    <w:rsid w:val="00A34C6A"/>
    <w:rsid w:val="00A34DB2"/>
    <w:rsid w:val="00A411A7"/>
    <w:rsid w:val="00A463AB"/>
    <w:rsid w:val="00A50E0B"/>
    <w:rsid w:val="00A5351B"/>
    <w:rsid w:val="00A610C7"/>
    <w:rsid w:val="00A63393"/>
    <w:rsid w:val="00A6772F"/>
    <w:rsid w:val="00A70FAA"/>
    <w:rsid w:val="00A71311"/>
    <w:rsid w:val="00A73527"/>
    <w:rsid w:val="00A84F70"/>
    <w:rsid w:val="00A8690D"/>
    <w:rsid w:val="00A91A37"/>
    <w:rsid w:val="00A96A5D"/>
    <w:rsid w:val="00AA65DD"/>
    <w:rsid w:val="00AA711D"/>
    <w:rsid w:val="00AB2821"/>
    <w:rsid w:val="00AB5878"/>
    <w:rsid w:val="00AC5832"/>
    <w:rsid w:val="00AC5AC0"/>
    <w:rsid w:val="00AD0784"/>
    <w:rsid w:val="00AD5AD0"/>
    <w:rsid w:val="00AD6807"/>
    <w:rsid w:val="00AE04D7"/>
    <w:rsid w:val="00AE27D7"/>
    <w:rsid w:val="00AE4021"/>
    <w:rsid w:val="00AF27A1"/>
    <w:rsid w:val="00AF3DCF"/>
    <w:rsid w:val="00AF4312"/>
    <w:rsid w:val="00AF7B14"/>
    <w:rsid w:val="00B01CD8"/>
    <w:rsid w:val="00B01FD6"/>
    <w:rsid w:val="00B0291C"/>
    <w:rsid w:val="00B03256"/>
    <w:rsid w:val="00B0620E"/>
    <w:rsid w:val="00B07E14"/>
    <w:rsid w:val="00B10050"/>
    <w:rsid w:val="00B12CA5"/>
    <w:rsid w:val="00B15392"/>
    <w:rsid w:val="00B20DE6"/>
    <w:rsid w:val="00B24355"/>
    <w:rsid w:val="00B24FCE"/>
    <w:rsid w:val="00B360EF"/>
    <w:rsid w:val="00B40CAB"/>
    <w:rsid w:val="00B45A92"/>
    <w:rsid w:val="00B4789D"/>
    <w:rsid w:val="00B51E3D"/>
    <w:rsid w:val="00B52EF4"/>
    <w:rsid w:val="00B55ABD"/>
    <w:rsid w:val="00B56A52"/>
    <w:rsid w:val="00B6100E"/>
    <w:rsid w:val="00B61FCA"/>
    <w:rsid w:val="00B80653"/>
    <w:rsid w:val="00B822E8"/>
    <w:rsid w:val="00B83F24"/>
    <w:rsid w:val="00B9512B"/>
    <w:rsid w:val="00BA2079"/>
    <w:rsid w:val="00BA647C"/>
    <w:rsid w:val="00BA6D17"/>
    <w:rsid w:val="00BC6F7C"/>
    <w:rsid w:val="00BD40A2"/>
    <w:rsid w:val="00BD7488"/>
    <w:rsid w:val="00BD7D24"/>
    <w:rsid w:val="00BE4206"/>
    <w:rsid w:val="00BE477C"/>
    <w:rsid w:val="00BF00F7"/>
    <w:rsid w:val="00BF2535"/>
    <w:rsid w:val="00BF4F14"/>
    <w:rsid w:val="00C01F22"/>
    <w:rsid w:val="00C04D28"/>
    <w:rsid w:val="00C07469"/>
    <w:rsid w:val="00C12CEA"/>
    <w:rsid w:val="00C13187"/>
    <w:rsid w:val="00C14CE3"/>
    <w:rsid w:val="00C153CC"/>
    <w:rsid w:val="00C268B0"/>
    <w:rsid w:val="00C2711B"/>
    <w:rsid w:val="00C3065E"/>
    <w:rsid w:val="00C30750"/>
    <w:rsid w:val="00C37045"/>
    <w:rsid w:val="00C444B6"/>
    <w:rsid w:val="00C4713C"/>
    <w:rsid w:val="00C602B6"/>
    <w:rsid w:val="00C64DE7"/>
    <w:rsid w:val="00C73FF3"/>
    <w:rsid w:val="00C749AB"/>
    <w:rsid w:val="00C805A4"/>
    <w:rsid w:val="00C81884"/>
    <w:rsid w:val="00C82C28"/>
    <w:rsid w:val="00C84F4B"/>
    <w:rsid w:val="00C90C3C"/>
    <w:rsid w:val="00C911ED"/>
    <w:rsid w:val="00C9224F"/>
    <w:rsid w:val="00C95B69"/>
    <w:rsid w:val="00C95C0A"/>
    <w:rsid w:val="00C96CD1"/>
    <w:rsid w:val="00CB344A"/>
    <w:rsid w:val="00CB4550"/>
    <w:rsid w:val="00CB4B14"/>
    <w:rsid w:val="00CC2987"/>
    <w:rsid w:val="00CC2E5E"/>
    <w:rsid w:val="00CC2E63"/>
    <w:rsid w:val="00CC2E72"/>
    <w:rsid w:val="00CC4FCC"/>
    <w:rsid w:val="00CD05FB"/>
    <w:rsid w:val="00CD2CFF"/>
    <w:rsid w:val="00CD517C"/>
    <w:rsid w:val="00CE02FD"/>
    <w:rsid w:val="00CE2541"/>
    <w:rsid w:val="00CE27ED"/>
    <w:rsid w:val="00CE3183"/>
    <w:rsid w:val="00CE62FE"/>
    <w:rsid w:val="00CE7381"/>
    <w:rsid w:val="00CF6E6A"/>
    <w:rsid w:val="00CF741D"/>
    <w:rsid w:val="00D135A4"/>
    <w:rsid w:val="00D15CAA"/>
    <w:rsid w:val="00D2497C"/>
    <w:rsid w:val="00D24ECE"/>
    <w:rsid w:val="00D32010"/>
    <w:rsid w:val="00D33A2E"/>
    <w:rsid w:val="00D37AC2"/>
    <w:rsid w:val="00D44B75"/>
    <w:rsid w:val="00D45A00"/>
    <w:rsid w:val="00D466F9"/>
    <w:rsid w:val="00D51215"/>
    <w:rsid w:val="00D551B0"/>
    <w:rsid w:val="00D57106"/>
    <w:rsid w:val="00D601E7"/>
    <w:rsid w:val="00D61870"/>
    <w:rsid w:val="00D61CC7"/>
    <w:rsid w:val="00D63D2B"/>
    <w:rsid w:val="00D64361"/>
    <w:rsid w:val="00D65657"/>
    <w:rsid w:val="00D72B56"/>
    <w:rsid w:val="00D774A8"/>
    <w:rsid w:val="00D860A0"/>
    <w:rsid w:val="00D9127E"/>
    <w:rsid w:val="00D916A1"/>
    <w:rsid w:val="00D96859"/>
    <w:rsid w:val="00DA1EBA"/>
    <w:rsid w:val="00DA20A4"/>
    <w:rsid w:val="00DA247C"/>
    <w:rsid w:val="00DA432B"/>
    <w:rsid w:val="00DA5738"/>
    <w:rsid w:val="00DA5973"/>
    <w:rsid w:val="00DB0697"/>
    <w:rsid w:val="00DB0F49"/>
    <w:rsid w:val="00DB2505"/>
    <w:rsid w:val="00DB727D"/>
    <w:rsid w:val="00DB7D26"/>
    <w:rsid w:val="00DC05F4"/>
    <w:rsid w:val="00DC3615"/>
    <w:rsid w:val="00DC4E52"/>
    <w:rsid w:val="00DC6B08"/>
    <w:rsid w:val="00DD06C4"/>
    <w:rsid w:val="00DD5BAA"/>
    <w:rsid w:val="00DD6A1E"/>
    <w:rsid w:val="00DE19D2"/>
    <w:rsid w:val="00DE3C84"/>
    <w:rsid w:val="00DE50EA"/>
    <w:rsid w:val="00DF0863"/>
    <w:rsid w:val="00DF5085"/>
    <w:rsid w:val="00DF689B"/>
    <w:rsid w:val="00E043CF"/>
    <w:rsid w:val="00E046BB"/>
    <w:rsid w:val="00E05775"/>
    <w:rsid w:val="00E0690B"/>
    <w:rsid w:val="00E11ADC"/>
    <w:rsid w:val="00E11F2C"/>
    <w:rsid w:val="00E26CAC"/>
    <w:rsid w:val="00E26D21"/>
    <w:rsid w:val="00E277FD"/>
    <w:rsid w:val="00E31028"/>
    <w:rsid w:val="00E3126A"/>
    <w:rsid w:val="00E32483"/>
    <w:rsid w:val="00E32627"/>
    <w:rsid w:val="00E33A3F"/>
    <w:rsid w:val="00E3440E"/>
    <w:rsid w:val="00E43481"/>
    <w:rsid w:val="00E47844"/>
    <w:rsid w:val="00E52034"/>
    <w:rsid w:val="00E54D6C"/>
    <w:rsid w:val="00E60026"/>
    <w:rsid w:val="00E61C27"/>
    <w:rsid w:val="00E61D77"/>
    <w:rsid w:val="00E631EC"/>
    <w:rsid w:val="00E646D2"/>
    <w:rsid w:val="00E64BA5"/>
    <w:rsid w:val="00E71467"/>
    <w:rsid w:val="00E72ACA"/>
    <w:rsid w:val="00E76422"/>
    <w:rsid w:val="00E823E9"/>
    <w:rsid w:val="00E83D88"/>
    <w:rsid w:val="00E83F7B"/>
    <w:rsid w:val="00E905D0"/>
    <w:rsid w:val="00E912EB"/>
    <w:rsid w:val="00E958DC"/>
    <w:rsid w:val="00E958EB"/>
    <w:rsid w:val="00E958FB"/>
    <w:rsid w:val="00E96179"/>
    <w:rsid w:val="00E97F9C"/>
    <w:rsid w:val="00EA2C8A"/>
    <w:rsid w:val="00EA2D14"/>
    <w:rsid w:val="00EA2D8E"/>
    <w:rsid w:val="00EA4EA5"/>
    <w:rsid w:val="00EA61C6"/>
    <w:rsid w:val="00EB1075"/>
    <w:rsid w:val="00EB12AF"/>
    <w:rsid w:val="00EB48BF"/>
    <w:rsid w:val="00EB7341"/>
    <w:rsid w:val="00EC134E"/>
    <w:rsid w:val="00EC5ACF"/>
    <w:rsid w:val="00EE07DB"/>
    <w:rsid w:val="00EE380C"/>
    <w:rsid w:val="00EE3A4A"/>
    <w:rsid w:val="00EE6612"/>
    <w:rsid w:val="00EF5172"/>
    <w:rsid w:val="00EF621C"/>
    <w:rsid w:val="00EF641A"/>
    <w:rsid w:val="00EF6A14"/>
    <w:rsid w:val="00EF6C47"/>
    <w:rsid w:val="00EF7B35"/>
    <w:rsid w:val="00F0280E"/>
    <w:rsid w:val="00F05C84"/>
    <w:rsid w:val="00F11B2B"/>
    <w:rsid w:val="00F134B9"/>
    <w:rsid w:val="00F15A05"/>
    <w:rsid w:val="00F21151"/>
    <w:rsid w:val="00F23C0E"/>
    <w:rsid w:val="00F260FE"/>
    <w:rsid w:val="00F2652F"/>
    <w:rsid w:val="00F337D9"/>
    <w:rsid w:val="00F34F8F"/>
    <w:rsid w:val="00F35728"/>
    <w:rsid w:val="00F461E3"/>
    <w:rsid w:val="00F50736"/>
    <w:rsid w:val="00F51750"/>
    <w:rsid w:val="00F52B62"/>
    <w:rsid w:val="00F53106"/>
    <w:rsid w:val="00F617B5"/>
    <w:rsid w:val="00F625B7"/>
    <w:rsid w:val="00F629EF"/>
    <w:rsid w:val="00F64A74"/>
    <w:rsid w:val="00F70394"/>
    <w:rsid w:val="00F707DB"/>
    <w:rsid w:val="00F72117"/>
    <w:rsid w:val="00F7701F"/>
    <w:rsid w:val="00F8151C"/>
    <w:rsid w:val="00F84854"/>
    <w:rsid w:val="00F91B1B"/>
    <w:rsid w:val="00F96DBE"/>
    <w:rsid w:val="00FA01E6"/>
    <w:rsid w:val="00FA3C08"/>
    <w:rsid w:val="00FA7161"/>
    <w:rsid w:val="00FA7A5C"/>
    <w:rsid w:val="00FB3B05"/>
    <w:rsid w:val="00FB6362"/>
    <w:rsid w:val="00FB7581"/>
    <w:rsid w:val="00FC23AA"/>
    <w:rsid w:val="00FC3F85"/>
    <w:rsid w:val="00FD2149"/>
    <w:rsid w:val="00FD23E1"/>
    <w:rsid w:val="00FD2D0D"/>
    <w:rsid w:val="00FE0E51"/>
    <w:rsid w:val="00FE0F79"/>
    <w:rsid w:val="00FE1959"/>
    <w:rsid w:val="00FE647A"/>
    <w:rsid w:val="00FF00B6"/>
    <w:rsid w:val="00FF478A"/>
    <w:rsid w:val="00FF4C9E"/>
    <w:rsid w:val="00FF7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5D53F"/>
  <w15:docId w15:val="{C6A1747F-8797-4AAD-9A1E-30CDB736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575"/>
    <w:pPr>
      <w:spacing w:after="120"/>
    </w:pPr>
    <w:rPr>
      <w:sz w:val="24"/>
    </w:rPr>
  </w:style>
  <w:style w:type="paragraph" w:styleId="Heading1">
    <w:name w:val="heading 1"/>
    <w:aliases w:val="1. Heading"/>
    <w:basedOn w:val="Normal"/>
    <w:next w:val="Normal"/>
    <w:link w:val="Heading1Char"/>
    <w:uiPriority w:val="9"/>
    <w:qFormat/>
    <w:rsid w:val="00E631EC"/>
    <w:pPr>
      <w:keepNext/>
      <w:keepLines/>
      <w:spacing w:before="240" w:after="240"/>
      <w:outlineLvl w:val="0"/>
    </w:pPr>
    <w:rPr>
      <w:rFonts w:asciiTheme="majorHAnsi" w:eastAsiaTheme="majorEastAsia" w:hAnsiTheme="majorHAnsi" w:cstheme="majorBidi"/>
      <w:color w:val="1F3864" w:themeColor="accent1" w:themeShade="80"/>
      <w:sz w:val="44"/>
      <w:szCs w:val="32"/>
    </w:rPr>
  </w:style>
  <w:style w:type="paragraph" w:styleId="Heading2">
    <w:name w:val="heading 2"/>
    <w:aliases w:val="1.1 Heading"/>
    <w:basedOn w:val="Normal"/>
    <w:next w:val="Normal"/>
    <w:link w:val="Heading2Char1"/>
    <w:uiPriority w:val="9"/>
    <w:unhideWhenUsed/>
    <w:qFormat/>
    <w:rsid w:val="00E631EC"/>
    <w:pPr>
      <w:keepNext/>
      <w:keepLines/>
      <w:spacing w:before="120"/>
      <w:outlineLvl w:val="1"/>
    </w:pPr>
    <w:rPr>
      <w:rFonts w:asciiTheme="majorHAnsi" w:eastAsiaTheme="majorEastAsia" w:hAnsiTheme="majorHAnsi" w:cstheme="majorBidi"/>
      <w:color w:val="1F3864" w:themeColor="accent1" w:themeShade="80"/>
      <w:sz w:val="36"/>
      <w:szCs w:val="26"/>
    </w:rPr>
  </w:style>
  <w:style w:type="paragraph" w:styleId="Heading3">
    <w:name w:val="heading 3"/>
    <w:aliases w:val="1.1.1 Heading"/>
    <w:basedOn w:val="Normal"/>
    <w:next w:val="Normal"/>
    <w:link w:val="Heading3Char"/>
    <w:uiPriority w:val="9"/>
    <w:unhideWhenUsed/>
    <w:qFormat/>
    <w:rsid w:val="00106575"/>
    <w:pPr>
      <w:keepNext/>
      <w:keepLines/>
      <w:spacing w:before="12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uiPriority w:val="9"/>
    <w:unhideWhenUsed/>
    <w:qFormat/>
    <w:rsid w:val="00E631EC"/>
    <w:pPr>
      <w:keepNext/>
      <w:keepLines/>
      <w:spacing w:before="120"/>
      <w:outlineLvl w:val="3"/>
    </w:pPr>
    <w:rPr>
      <w:rFonts w:asciiTheme="majorHAnsi" w:eastAsiaTheme="majorEastAsia" w:hAnsiTheme="majorHAnsi" w:cstheme="majorBid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8D6"/>
    <w:pPr>
      <w:spacing w:before="240" w:after="240" w:line="240" w:lineRule="auto"/>
      <w:contextualSpacing/>
    </w:pPr>
    <w:rPr>
      <w:rFonts w:ascii="Usual" w:eastAsiaTheme="majorEastAsia" w:hAnsi="Usual"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7468D6"/>
    <w:rPr>
      <w:rFonts w:ascii="Usual" w:eastAsiaTheme="majorEastAsia" w:hAnsi="Usual" w:cstheme="majorBidi"/>
      <w:color w:val="1F3864" w:themeColor="accent1" w:themeShade="80"/>
      <w:spacing w:val="-10"/>
      <w:kern w:val="28"/>
      <w:sz w:val="56"/>
      <w:szCs w:val="56"/>
    </w:rPr>
  </w:style>
  <w:style w:type="character" w:customStyle="1" w:styleId="Heading1Char">
    <w:name w:val="Heading 1 Char"/>
    <w:aliases w:val="1. Heading Char"/>
    <w:basedOn w:val="DefaultParagraphFont"/>
    <w:link w:val="Heading1"/>
    <w:uiPriority w:val="9"/>
    <w:rsid w:val="00E631EC"/>
    <w:rPr>
      <w:rFonts w:asciiTheme="majorHAnsi" w:eastAsiaTheme="majorEastAsia" w:hAnsiTheme="majorHAnsi" w:cstheme="majorBidi"/>
      <w:color w:val="1F3864" w:themeColor="accent1" w:themeShade="80"/>
      <w:sz w:val="44"/>
      <w:szCs w:val="32"/>
    </w:rPr>
  </w:style>
  <w:style w:type="character" w:customStyle="1" w:styleId="Heading2Char1">
    <w:name w:val="Heading 2 Char1"/>
    <w:aliases w:val="1.1 Heading Char1"/>
    <w:basedOn w:val="DefaultParagraphFont"/>
    <w:link w:val="Heading2"/>
    <w:uiPriority w:val="9"/>
    <w:rsid w:val="00E631EC"/>
    <w:rPr>
      <w:rFonts w:asciiTheme="majorHAnsi" w:eastAsiaTheme="majorEastAsia" w:hAnsiTheme="majorHAnsi" w:cstheme="majorBidi"/>
      <w:color w:val="1F3864" w:themeColor="accent1" w:themeShade="80"/>
      <w:sz w:val="36"/>
      <w:szCs w:val="26"/>
    </w:rPr>
  </w:style>
  <w:style w:type="character" w:customStyle="1" w:styleId="Heading3Char">
    <w:name w:val="Heading 3 Char"/>
    <w:aliases w:val="1.1.1 Heading Char"/>
    <w:basedOn w:val="DefaultParagraphFont"/>
    <w:link w:val="Heading3"/>
    <w:uiPriority w:val="9"/>
    <w:rsid w:val="00106575"/>
    <w:rPr>
      <w:rFonts w:asciiTheme="majorHAnsi" w:eastAsiaTheme="majorEastAsia" w:hAnsiTheme="majorHAnsi" w:cstheme="majorBidi"/>
      <w:color w:val="1F3763" w:themeColor="accent1" w:themeShade="7F"/>
      <w:sz w:val="28"/>
      <w:szCs w:val="24"/>
    </w:rPr>
  </w:style>
  <w:style w:type="character" w:customStyle="1" w:styleId="Heading4Char">
    <w:name w:val="Heading 4 Char"/>
    <w:basedOn w:val="DefaultParagraphFont"/>
    <w:link w:val="Heading4"/>
    <w:uiPriority w:val="9"/>
    <w:rsid w:val="00E631EC"/>
    <w:rPr>
      <w:rFonts w:asciiTheme="majorHAnsi" w:eastAsiaTheme="majorEastAsia" w:hAnsiTheme="majorHAnsi" w:cstheme="majorBidi"/>
      <w:iCs/>
      <w:color w:val="1F3864" w:themeColor="accent1" w:themeShade="80"/>
      <w:sz w:val="24"/>
    </w:rPr>
  </w:style>
  <w:style w:type="paragraph" w:styleId="Header">
    <w:name w:val="header"/>
    <w:basedOn w:val="Normal"/>
    <w:link w:val="HeaderChar"/>
    <w:uiPriority w:val="99"/>
    <w:unhideWhenUsed/>
    <w:rsid w:val="00A7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11"/>
    <w:rPr>
      <w:sz w:val="24"/>
    </w:rPr>
  </w:style>
  <w:style w:type="paragraph" w:styleId="Footer">
    <w:name w:val="footer"/>
    <w:basedOn w:val="Normal"/>
    <w:link w:val="FooterChar"/>
    <w:uiPriority w:val="99"/>
    <w:unhideWhenUsed/>
    <w:rsid w:val="00A7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11"/>
    <w:rPr>
      <w:sz w:val="24"/>
    </w:rPr>
  </w:style>
  <w:style w:type="character" w:styleId="CommentReference">
    <w:name w:val="annotation reference"/>
    <w:basedOn w:val="DefaultParagraphFont"/>
    <w:uiPriority w:val="99"/>
    <w:semiHidden/>
    <w:unhideWhenUsed/>
    <w:rsid w:val="007F217B"/>
    <w:rPr>
      <w:sz w:val="16"/>
      <w:szCs w:val="16"/>
    </w:rPr>
  </w:style>
  <w:style w:type="paragraph" w:styleId="CommentText">
    <w:name w:val="annotation text"/>
    <w:basedOn w:val="Normal"/>
    <w:link w:val="CommentTextChar"/>
    <w:uiPriority w:val="99"/>
    <w:unhideWhenUsed/>
    <w:rsid w:val="007F217B"/>
    <w:pPr>
      <w:spacing w:line="240" w:lineRule="auto"/>
    </w:pPr>
    <w:rPr>
      <w:sz w:val="20"/>
      <w:szCs w:val="20"/>
    </w:rPr>
  </w:style>
  <w:style w:type="character" w:customStyle="1" w:styleId="CommentTextChar">
    <w:name w:val="Comment Text Char"/>
    <w:basedOn w:val="DefaultParagraphFont"/>
    <w:link w:val="CommentText"/>
    <w:uiPriority w:val="99"/>
    <w:rsid w:val="007F217B"/>
    <w:rPr>
      <w:sz w:val="20"/>
      <w:szCs w:val="20"/>
    </w:rPr>
  </w:style>
  <w:style w:type="paragraph" w:styleId="CommentSubject">
    <w:name w:val="annotation subject"/>
    <w:basedOn w:val="CommentText"/>
    <w:next w:val="CommentText"/>
    <w:link w:val="CommentSubjectChar"/>
    <w:uiPriority w:val="99"/>
    <w:semiHidden/>
    <w:unhideWhenUsed/>
    <w:rsid w:val="007F217B"/>
    <w:rPr>
      <w:b/>
      <w:bCs/>
    </w:rPr>
  </w:style>
  <w:style w:type="character" w:customStyle="1" w:styleId="CommentSubjectChar">
    <w:name w:val="Comment Subject Char"/>
    <w:basedOn w:val="CommentTextChar"/>
    <w:link w:val="CommentSubject"/>
    <w:uiPriority w:val="99"/>
    <w:semiHidden/>
    <w:rsid w:val="007F217B"/>
    <w:rPr>
      <w:b/>
      <w:bCs/>
      <w:sz w:val="20"/>
      <w:szCs w:val="20"/>
    </w:rPr>
  </w:style>
  <w:style w:type="paragraph" w:styleId="BalloonText">
    <w:name w:val="Balloon Text"/>
    <w:basedOn w:val="Normal"/>
    <w:link w:val="BalloonTextChar"/>
    <w:uiPriority w:val="99"/>
    <w:semiHidden/>
    <w:unhideWhenUsed/>
    <w:rsid w:val="007F2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7B"/>
    <w:rPr>
      <w:rFonts w:ascii="Segoe UI" w:hAnsi="Segoe UI" w:cs="Segoe UI"/>
      <w:sz w:val="18"/>
      <w:szCs w:val="18"/>
    </w:rPr>
  </w:style>
  <w:style w:type="paragraph" w:styleId="ListParagraph">
    <w:name w:val="List Paragraph"/>
    <w:basedOn w:val="Normal"/>
    <w:uiPriority w:val="1"/>
    <w:qFormat/>
    <w:rsid w:val="008B7600"/>
    <w:pPr>
      <w:widowControl w:val="0"/>
      <w:autoSpaceDE w:val="0"/>
      <w:autoSpaceDN w:val="0"/>
      <w:spacing w:line="240" w:lineRule="auto"/>
      <w:ind w:left="533" w:hanging="418"/>
    </w:pPr>
    <w:rPr>
      <w:rFonts w:eastAsia="Calibri Light" w:cs="Calibri Light"/>
    </w:rPr>
  </w:style>
  <w:style w:type="paragraph" w:styleId="BodyText">
    <w:name w:val="Body Text"/>
    <w:basedOn w:val="Normal"/>
    <w:link w:val="BodyTextChar"/>
    <w:uiPriority w:val="1"/>
    <w:qFormat/>
    <w:rsid w:val="001B4D37"/>
    <w:pPr>
      <w:widowControl w:val="0"/>
      <w:autoSpaceDE w:val="0"/>
      <w:autoSpaceDN w:val="0"/>
      <w:spacing w:after="0" w:line="240" w:lineRule="auto"/>
    </w:pPr>
    <w:rPr>
      <w:rFonts w:ascii="Calibri" w:eastAsia="Calibri" w:hAnsi="Calibri" w:cs="Calibri"/>
      <w:szCs w:val="24"/>
      <w:u w:val="single" w:color="000000"/>
    </w:rPr>
  </w:style>
  <w:style w:type="character" w:customStyle="1" w:styleId="BodyTextChar">
    <w:name w:val="Body Text Char"/>
    <w:basedOn w:val="DefaultParagraphFont"/>
    <w:link w:val="BodyText"/>
    <w:uiPriority w:val="1"/>
    <w:rsid w:val="001B4D37"/>
    <w:rPr>
      <w:rFonts w:ascii="Calibri" w:eastAsia="Calibri" w:hAnsi="Calibri" w:cs="Calibri"/>
      <w:sz w:val="24"/>
      <w:szCs w:val="24"/>
      <w:u w:val="single" w:color="000000"/>
    </w:rPr>
  </w:style>
  <w:style w:type="character" w:customStyle="1" w:styleId="Heading2Char">
    <w:name w:val="Heading 2 Char"/>
    <w:aliases w:val="1.1 Heading Char"/>
    <w:basedOn w:val="DefaultParagraphFont"/>
    <w:uiPriority w:val="9"/>
    <w:locked/>
    <w:rsid w:val="00EF6A14"/>
    <w:rPr>
      <w:rFonts w:ascii="Cambria" w:hAnsi="Cambria"/>
      <w:color w:val="244061"/>
    </w:rPr>
  </w:style>
  <w:style w:type="paragraph" w:styleId="Revision">
    <w:name w:val="Revision"/>
    <w:hidden/>
    <w:semiHidden/>
    <w:rsid w:val="00CC2E5E"/>
    <w:pPr>
      <w:spacing w:line="240" w:lineRule="auto"/>
    </w:pPr>
    <w:rPr>
      <w:sz w:val="24"/>
    </w:rPr>
  </w:style>
  <w:style w:type="paragraph" w:customStyle="1" w:styleId="Default">
    <w:name w:val="Default"/>
    <w:rsid w:val="00062013"/>
    <w:pPr>
      <w:autoSpaceDE w:val="0"/>
      <w:autoSpaceDN w:val="0"/>
      <w:adjustRightInd w:val="0"/>
      <w:spacing w:line="240" w:lineRule="auto"/>
    </w:pPr>
    <w:rPr>
      <w:rFonts w:ascii="Verdana" w:hAnsi="Verdana" w:cs="Verdana"/>
      <w:color w:val="000000"/>
      <w:sz w:val="24"/>
      <w:szCs w:val="24"/>
    </w:rPr>
  </w:style>
  <w:style w:type="character" w:styleId="Hyperlink">
    <w:name w:val="Hyperlink"/>
    <w:basedOn w:val="DefaultParagraphFont"/>
    <w:unhideWhenUsed/>
    <w:rsid w:val="008D66E5"/>
    <w:rPr>
      <w:color w:val="0563C1" w:themeColor="hyperlink"/>
      <w:u w:val="single"/>
    </w:rPr>
  </w:style>
  <w:style w:type="character" w:customStyle="1" w:styleId="UnresolvedMention1">
    <w:name w:val="Unresolved Mention1"/>
    <w:basedOn w:val="DefaultParagraphFont"/>
    <w:uiPriority w:val="99"/>
    <w:semiHidden/>
    <w:unhideWhenUsed/>
    <w:rsid w:val="008D66E5"/>
    <w:rPr>
      <w:color w:val="808080"/>
      <w:shd w:val="clear" w:color="auto" w:fill="E6E6E6"/>
    </w:rPr>
  </w:style>
  <w:style w:type="character" w:customStyle="1" w:styleId="UnresolvedMention2">
    <w:name w:val="Unresolved Mention2"/>
    <w:basedOn w:val="DefaultParagraphFont"/>
    <w:uiPriority w:val="99"/>
    <w:semiHidden/>
    <w:unhideWhenUsed/>
    <w:rsid w:val="00327E83"/>
    <w:rPr>
      <w:color w:val="808080"/>
      <w:shd w:val="clear" w:color="auto" w:fill="E6E6E6"/>
    </w:rPr>
  </w:style>
  <w:style w:type="character" w:styleId="FollowedHyperlink">
    <w:name w:val="FollowedHyperlink"/>
    <w:basedOn w:val="DefaultParagraphFont"/>
    <w:unhideWhenUsed/>
    <w:rsid w:val="00310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8229">
      <w:bodyDiv w:val="1"/>
      <w:marLeft w:val="0"/>
      <w:marRight w:val="0"/>
      <w:marTop w:val="0"/>
      <w:marBottom w:val="0"/>
      <w:divBdr>
        <w:top w:val="none" w:sz="0" w:space="0" w:color="auto"/>
        <w:left w:val="none" w:sz="0" w:space="0" w:color="auto"/>
        <w:bottom w:val="none" w:sz="0" w:space="0" w:color="auto"/>
        <w:right w:val="none" w:sz="0" w:space="0" w:color="auto"/>
      </w:divBdr>
    </w:div>
    <w:div w:id="582303036">
      <w:bodyDiv w:val="1"/>
      <w:marLeft w:val="0"/>
      <w:marRight w:val="0"/>
      <w:marTop w:val="0"/>
      <w:marBottom w:val="0"/>
      <w:divBdr>
        <w:top w:val="none" w:sz="0" w:space="0" w:color="auto"/>
        <w:left w:val="none" w:sz="0" w:space="0" w:color="auto"/>
        <w:bottom w:val="none" w:sz="0" w:space="0" w:color="auto"/>
        <w:right w:val="none" w:sz="0" w:space="0" w:color="auto"/>
      </w:divBdr>
    </w:div>
    <w:div w:id="618878134">
      <w:bodyDiv w:val="1"/>
      <w:marLeft w:val="0"/>
      <w:marRight w:val="0"/>
      <w:marTop w:val="0"/>
      <w:marBottom w:val="0"/>
      <w:divBdr>
        <w:top w:val="none" w:sz="0" w:space="0" w:color="auto"/>
        <w:left w:val="none" w:sz="0" w:space="0" w:color="auto"/>
        <w:bottom w:val="none" w:sz="0" w:space="0" w:color="auto"/>
        <w:right w:val="none" w:sz="0" w:space="0" w:color="auto"/>
      </w:divBdr>
    </w:div>
    <w:div w:id="654993800">
      <w:bodyDiv w:val="1"/>
      <w:marLeft w:val="0"/>
      <w:marRight w:val="0"/>
      <w:marTop w:val="0"/>
      <w:marBottom w:val="0"/>
      <w:divBdr>
        <w:top w:val="none" w:sz="0" w:space="0" w:color="auto"/>
        <w:left w:val="none" w:sz="0" w:space="0" w:color="auto"/>
        <w:bottom w:val="none" w:sz="0" w:space="0" w:color="auto"/>
        <w:right w:val="none" w:sz="0" w:space="0" w:color="auto"/>
      </w:divBdr>
    </w:div>
    <w:div w:id="711001705">
      <w:bodyDiv w:val="1"/>
      <w:marLeft w:val="0"/>
      <w:marRight w:val="0"/>
      <w:marTop w:val="0"/>
      <w:marBottom w:val="0"/>
      <w:divBdr>
        <w:top w:val="none" w:sz="0" w:space="0" w:color="auto"/>
        <w:left w:val="none" w:sz="0" w:space="0" w:color="auto"/>
        <w:bottom w:val="none" w:sz="0" w:space="0" w:color="auto"/>
        <w:right w:val="none" w:sz="0" w:space="0" w:color="auto"/>
      </w:divBdr>
    </w:div>
    <w:div w:id="1068068999">
      <w:bodyDiv w:val="1"/>
      <w:marLeft w:val="0"/>
      <w:marRight w:val="0"/>
      <w:marTop w:val="0"/>
      <w:marBottom w:val="0"/>
      <w:divBdr>
        <w:top w:val="none" w:sz="0" w:space="0" w:color="auto"/>
        <w:left w:val="none" w:sz="0" w:space="0" w:color="auto"/>
        <w:bottom w:val="none" w:sz="0" w:space="0" w:color="auto"/>
        <w:right w:val="none" w:sz="0" w:space="0" w:color="auto"/>
      </w:divBdr>
    </w:div>
    <w:div w:id="1155216899">
      <w:bodyDiv w:val="1"/>
      <w:marLeft w:val="0"/>
      <w:marRight w:val="0"/>
      <w:marTop w:val="0"/>
      <w:marBottom w:val="0"/>
      <w:divBdr>
        <w:top w:val="none" w:sz="0" w:space="0" w:color="auto"/>
        <w:left w:val="none" w:sz="0" w:space="0" w:color="auto"/>
        <w:bottom w:val="none" w:sz="0" w:space="0" w:color="auto"/>
        <w:right w:val="none" w:sz="0" w:space="0" w:color="auto"/>
      </w:divBdr>
    </w:div>
    <w:div w:id="1500466469">
      <w:bodyDiv w:val="1"/>
      <w:marLeft w:val="0"/>
      <w:marRight w:val="0"/>
      <w:marTop w:val="0"/>
      <w:marBottom w:val="0"/>
      <w:divBdr>
        <w:top w:val="none" w:sz="0" w:space="0" w:color="auto"/>
        <w:left w:val="none" w:sz="0" w:space="0" w:color="auto"/>
        <w:bottom w:val="none" w:sz="0" w:space="0" w:color="auto"/>
        <w:right w:val="none" w:sz="0" w:space="0" w:color="auto"/>
      </w:divBdr>
    </w:div>
    <w:div w:id="1515460637">
      <w:bodyDiv w:val="1"/>
      <w:marLeft w:val="0"/>
      <w:marRight w:val="0"/>
      <w:marTop w:val="0"/>
      <w:marBottom w:val="0"/>
      <w:divBdr>
        <w:top w:val="none" w:sz="0" w:space="0" w:color="auto"/>
        <w:left w:val="none" w:sz="0" w:space="0" w:color="auto"/>
        <w:bottom w:val="none" w:sz="0" w:space="0" w:color="auto"/>
        <w:right w:val="none" w:sz="0" w:space="0" w:color="auto"/>
      </w:divBdr>
    </w:div>
    <w:div w:id="16324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aarchive.arctic-council.org/handle/11374/52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aarchive.arctic-council.org/handle/11374/212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cticbiodiversity.is/congr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aarchive.arctic-council.org/handle/11374/1928"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aarchive.arctic-council.org/handle/11374/19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ed1041-2ef6-461e-80ae-51c4262a0d6e">ARCO-1211583952-13498</_dlc_DocId>
    <_dlc_DocIdUrl xmlns="cfed1041-2ef6-461e-80ae-51c4262a0d6e">
      <Url>https://arcticcouncil.sharepoint.com/sites/AC/SAO/_layouts/15/DocIdRedir.aspx?ID=ARCO-1211583952-13498</Url>
      <Description>ARCO-1211583952-13498</Description>
    </_dlc_DocIdUrl>
    <TaxCatchAll xmlns="cfed1041-2ef6-461e-80ae-51c4262a0d6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99D9B0AC6D94EA5AF6BF248DB7E0A" ma:contentTypeVersion="11" ma:contentTypeDescription="Create a new document." ma:contentTypeScope="" ma:versionID="b1ece9528214233face3d769feb96e7b">
  <xsd:schema xmlns:xsd="http://www.w3.org/2001/XMLSchema" xmlns:xs="http://www.w3.org/2001/XMLSchema" xmlns:p="http://schemas.microsoft.com/office/2006/metadata/properties" xmlns:ns2="2868e3da-d934-4bc9-9171-735992a16a13" xmlns:ns3="cfed1041-2ef6-461e-80ae-51c4262a0d6e" xmlns:ns4="dd520f15-3d2d-49f2-8f25-3ff8f035d75a" targetNamespace="http://schemas.microsoft.com/office/2006/metadata/properties" ma:root="true" ma:fieldsID="7f7aa9aafc275635bdc941bf3763f3fe" ns2:_="" ns3:_="" ns4:_="">
    <xsd:import namespace="2868e3da-d934-4bc9-9171-735992a16a13"/>
    <xsd:import namespace="cfed1041-2ef6-461e-80ae-51c4262a0d6e"/>
    <xsd:import namespace="dd520f15-3d2d-49f2-8f25-3ff8f035d75a"/>
    <xsd:element name="properties">
      <xsd:complexType>
        <xsd:sequence>
          <xsd:element name="documentManagement">
            <xsd:complexType>
              <xsd:all>
                <xsd:element ref="ns2:SharedWithUsers" minOccurs="0"/>
                <xsd:element ref="ns2:SharedWithDetails" minOccurs="0"/>
                <xsd:element ref="ns3:TaxCatchAll"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8e3da-d934-4bc9-9171-735992a16a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d1041-2ef6-461e-80ae-51c4262a0d6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df0935d-81e7-4eea-9270-ec24696f891f}" ma:internalName="TaxCatchAll" ma:showField="CatchAllData" ma:web="cfed1041-2ef6-461e-80ae-51c4262a0d6e">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520f15-3d2d-49f2-8f25-3ff8f035d7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1321-E6CB-4916-87ED-800A3BDF5F1D}">
  <ds:schemaRefs>
    <ds:schemaRef ds:uri="http://schemas.microsoft.com/office/2006/documentManagement/types"/>
    <ds:schemaRef ds:uri="2868e3da-d934-4bc9-9171-735992a16a1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d520f15-3d2d-49f2-8f25-3ff8f035d75a"/>
    <ds:schemaRef ds:uri="cfed1041-2ef6-461e-80ae-51c4262a0d6e"/>
    <ds:schemaRef ds:uri="http://www.w3.org/XML/1998/namespace"/>
    <ds:schemaRef ds:uri="http://purl.org/dc/dcmitype/"/>
  </ds:schemaRefs>
</ds:datastoreItem>
</file>

<file path=customXml/itemProps2.xml><?xml version="1.0" encoding="utf-8"?>
<ds:datastoreItem xmlns:ds="http://schemas.openxmlformats.org/officeDocument/2006/customXml" ds:itemID="{3A7F35B5-A165-4F20-8EA3-6CE7B9C9F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8e3da-d934-4bc9-9171-735992a16a13"/>
    <ds:schemaRef ds:uri="cfed1041-2ef6-461e-80ae-51c4262a0d6e"/>
    <ds:schemaRef ds:uri="dd520f15-3d2d-49f2-8f25-3ff8f035d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B616D-F240-4278-849E-85AE51843A03}">
  <ds:schemaRefs>
    <ds:schemaRef ds:uri="http://schemas.microsoft.com/sharepoint/events"/>
  </ds:schemaRefs>
</ds:datastoreItem>
</file>

<file path=customXml/itemProps4.xml><?xml version="1.0" encoding="utf-8"?>
<ds:datastoreItem xmlns:ds="http://schemas.openxmlformats.org/officeDocument/2006/customXml" ds:itemID="{E86DF0B0-7990-4E64-BCBF-7DF218D6E046}">
  <ds:schemaRefs>
    <ds:schemaRef ds:uri="http://schemas.microsoft.com/sharepoint/v3/contenttype/forms"/>
  </ds:schemaRefs>
</ds:datastoreItem>
</file>

<file path=customXml/itemProps5.xml><?xml version="1.0" encoding="utf-8"?>
<ds:datastoreItem xmlns:ds="http://schemas.openxmlformats.org/officeDocument/2006/customXml" ds:itemID="{0E9074E0-6BE5-0640-920F-550BBEBA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6680</Words>
  <Characters>38079</Characters>
  <Application>Microsoft Office Word</Application>
  <DocSecurity>4</DocSecurity>
  <Lines>317</Lines>
  <Paragraphs>89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Fries</dc:creator>
  <dc:description>As distributed via email 9 March 2018</dc:description>
  <cp:lastModifiedBy>Soffía Guðmundsdóttir</cp:lastModifiedBy>
  <cp:revision>2</cp:revision>
  <cp:lastPrinted>2018-04-25T13:00:00Z</cp:lastPrinted>
  <dcterms:created xsi:type="dcterms:W3CDTF">2018-07-31T14:40:00Z</dcterms:created>
  <dcterms:modified xsi:type="dcterms:W3CDTF">2018-07-31T14:40:00Z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0x0101004B399D9B0AC6D94EA5AF6BF248DB7E0A</vt:lpwstr>
  </property>
  <property fmtid="{D5CDD505-2E9C-101B-9397-08002B2CF9AE}" pid="3" name="_dlc_DocIdItemGuid">
    <vt:lpwstr>619cce92-69fd-4daf-9216-151cb1a9346b</vt:lpwstr>
  </property>
</Properties>
</file>