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BAABD" w14:textId="77777777" w:rsidR="005C2046" w:rsidRPr="00925B59" w:rsidRDefault="005C2046" w:rsidP="00B12B13">
      <w:pPr>
        <w:autoSpaceDE w:val="0"/>
        <w:autoSpaceDN w:val="0"/>
        <w:adjustRightInd w:val="0"/>
        <w:jc w:val="center"/>
        <w:rPr>
          <w:rFonts w:eastAsia="Times New Roman"/>
          <w:b/>
          <w:bCs/>
          <w:i/>
          <w:iCs/>
          <w:color w:val="000000"/>
        </w:rPr>
      </w:pPr>
      <w:bookmarkStart w:id="0" w:name="_GoBack"/>
      <w:bookmarkEnd w:id="0"/>
    </w:p>
    <w:p w14:paraId="2E91CDFB" w14:textId="77777777" w:rsidR="005C2046" w:rsidRPr="00925B59" w:rsidRDefault="005C2046" w:rsidP="00B12B13">
      <w:pPr>
        <w:autoSpaceDE w:val="0"/>
        <w:autoSpaceDN w:val="0"/>
        <w:adjustRightInd w:val="0"/>
        <w:jc w:val="center"/>
        <w:rPr>
          <w:rFonts w:eastAsia="Times New Roman"/>
          <w:b/>
          <w:bCs/>
          <w:i/>
          <w:iCs/>
          <w:color w:val="000000"/>
        </w:rPr>
      </w:pPr>
    </w:p>
    <w:p w14:paraId="2A97EE4D" w14:textId="5B3A843D" w:rsidR="005C2046" w:rsidRPr="00925B59" w:rsidRDefault="004A0650" w:rsidP="00B12B13">
      <w:pPr>
        <w:autoSpaceDE w:val="0"/>
        <w:autoSpaceDN w:val="0"/>
        <w:adjustRightInd w:val="0"/>
        <w:jc w:val="center"/>
        <w:rPr>
          <w:rFonts w:eastAsia="Times New Roman"/>
          <w:b/>
          <w:bCs/>
          <w:iCs/>
          <w:color w:val="000000"/>
        </w:rPr>
      </w:pPr>
      <w:r w:rsidRPr="00925B59">
        <w:rPr>
          <w:rFonts w:eastAsia="Times New Roman"/>
          <w:b/>
          <w:bCs/>
          <w:iCs/>
          <w:color w:val="000000"/>
        </w:rPr>
        <w:t>DRAFT</w:t>
      </w:r>
    </w:p>
    <w:p w14:paraId="219DCAD4" w14:textId="77777777" w:rsidR="005C2046" w:rsidRPr="00925B59" w:rsidRDefault="005C2046" w:rsidP="00B12B13">
      <w:pPr>
        <w:autoSpaceDE w:val="0"/>
        <w:autoSpaceDN w:val="0"/>
        <w:adjustRightInd w:val="0"/>
        <w:jc w:val="center"/>
        <w:rPr>
          <w:rFonts w:eastAsia="Times New Roman"/>
          <w:b/>
          <w:bCs/>
          <w:i/>
          <w:iCs/>
          <w:color w:val="000000"/>
        </w:rPr>
      </w:pPr>
    </w:p>
    <w:p w14:paraId="18EAD2B9" w14:textId="3F4C2BDE" w:rsidR="0053582A" w:rsidRDefault="00B007AE" w:rsidP="00B12B13">
      <w:pPr>
        <w:autoSpaceDE w:val="0"/>
        <w:autoSpaceDN w:val="0"/>
        <w:adjustRightInd w:val="0"/>
        <w:jc w:val="center"/>
        <w:rPr>
          <w:rFonts w:eastAsia="Times New Roman"/>
          <w:b/>
          <w:bCs/>
          <w:i/>
          <w:iCs/>
          <w:color w:val="000000"/>
        </w:rPr>
      </w:pPr>
      <w:r>
        <w:rPr>
          <w:rFonts w:eastAsia="Times New Roman"/>
          <w:b/>
          <w:bCs/>
          <w:i/>
          <w:iCs/>
          <w:color w:val="000000"/>
        </w:rPr>
        <w:t>Background Document on Engagement with Indigenous Peoples</w:t>
      </w:r>
    </w:p>
    <w:p w14:paraId="20A2869C" w14:textId="6FF50E8E" w:rsidR="000139E1" w:rsidRPr="00925B59" w:rsidRDefault="000139E1" w:rsidP="00B12B13">
      <w:pPr>
        <w:autoSpaceDE w:val="0"/>
        <w:autoSpaceDN w:val="0"/>
        <w:adjustRightInd w:val="0"/>
        <w:jc w:val="center"/>
        <w:rPr>
          <w:rFonts w:eastAsia="Times New Roman"/>
          <w:b/>
          <w:bCs/>
          <w:i/>
          <w:iCs/>
          <w:color w:val="000000"/>
        </w:rPr>
      </w:pPr>
      <w:r>
        <w:rPr>
          <w:rFonts w:eastAsia="Times New Roman"/>
          <w:b/>
          <w:bCs/>
          <w:i/>
          <w:iCs/>
          <w:color w:val="000000"/>
        </w:rPr>
        <w:t xml:space="preserve">For </w:t>
      </w:r>
      <w:r w:rsidR="00E92303">
        <w:rPr>
          <w:rFonts w:eastAsia="Times New Roman"/>
          <w:b/>
          <w:bCs/>
          <w:i/>
          <w:iCs/>
          <w:color w:val="000000"/>
        </w:rPr>
        <w:t>MEMA workshop (September 17, 2016)</w:t>
      </w:r>
    </w:p>
    <w:p w14:paraId="6FCB08AF" w14:textId="77777777" w:rsidR="00B50427" w:rsidRPr="00925B59" w:rsidRDefault="00B50427" w:rsidP="00B12B13">
      <w:pPr>
        <w:rPr>
          <w:b/>
        </w:rPr>
      </w:pPr>
    </w:p>
    <w:p w14:paraId="341AC119" w14:textId="77777777" w:rsidR="00B50427" w:rsidRPr="00925B59" w:rsidRDefault="00B50427" w:rsidP="00B12B13">
      <w:pPr>
        <w:rPr>
          <w:b/>
        </w:rPr>
      </w:pPr>
    </w:p>
    <w:p w14:paraId="4E63EA51" w14:textId="5B9BC108" w:rsidR="006A6BF2" w:rsidRPr="00925B59" w:rsidRDefault="006A6BF2" w:rsidP="00B12B13">
      <w:pPr>
        <w:rPr>
          <w:b/>
        </w:rPr>
      </w:pPr>
    </w:p>
    <w:p w14:paraId="0149337D" w14:textId="77777777" w:rsidR="006A6BF2" w:rsidRPr="00925B59" w:rsidRDefault="006A6BF2" w:rsidP="00B12B13">
      <w:pPr>
        <w:rPr>
          <w:b/>
        </w:rPr>
      </w:pPr>
    </w:p>
    <w:p w14:paraId="7049053E" w14:textId="77777777" w:rsidR="006A6BF2" w:rsidRPr="00925B59" w:rsidRDefault="006A6BF2" w:rsidP="00B12B13">
      <w:pPr>
        <w:rPr>
          <w:b/>
        </w:rPr>
      </w:pPr>
    </w:p>
    <w:p w14:paraId="3C5B1CA0" w14:textId="77777777" w:rsidR="006A6BF2" w:rsidRPr="00925B59" w:rsidRDefault="006A6BF2" w:rsidP="00B12B13">
      <w:pPr>
        <w:rPr>
          <w:b/>
        </w:rPr>
      </w:pPr>
    </w:p>
    <w:p w14:paraId="0E660A4F" w14:textId="77777777" w:rsidR="006A6BF2" w:rsidRPr="00925B59" w:rsidRDefault="006A6BF2" w:rsidP="00B12B13">
      <w:pPr>
        <w:rPr>
          <w:b/>
        </w:rPr>
      </w:pPr>
    </w:p>
    <w:p w14:paraId="7BA6268D" w14:textId="77777777" w:rsidR="006A6BF2" w:rsidRPr="00925B59" w:rsidRDefault="006A6BF2" w:rsidP="00B12B13">
      <w:pPr>
        <w:rPr>
          <w:b/>
        </w:rPr>
      </w:pPr>
    </w:p>
    <w:p w14:paraId="3021F5B8" w14:textId="77777777" w:rsidR="006A6BF2" w:rsidRPr="00925B59" w:rsidRDefault="006A6BF2" w:rsidP="00B12B13">
      <w:pPr>
        <w:rPr>
          <w:b/>
        </w:rPr>
      </w:pPr>
    </w:p>
    <w:p w14:paraId="21DC6F7C" w14:textId="77777777" w:rsidR="006A6BF2" w:rsidRPr="00925B59" w:rsidRDefault="006A6BF2" w:rsidP="00B12B13">
      <w:pPr>
        <w:rPr>
          <w:b/>
        </w:rPr>
      </w:pPr>
    </w:p>
    <w:p w14:paraId="20ADA125" w14:textId="77777777" w:rsidR="006A6BF2" w:rsidRPr="00925B59" w:rsidRDefault="006A6BF2" w:rsidP="00B12B13">
      <w:pPr>
        <w:rPr>
          <w:b/>
        </w:rPr>
      </w:pPr>
    </w:p>
    <w:p w14:paraId="400BCBA7" w14:textId="77777777" w:rsidR="006A6BF2" w:rsidRPr="00925B59" w:rsidRDefault="006A6BF2" w:rsidP="00B12B13">
      <w:pPr>
        <w:rPr>
          <w:b/>
        </w:rPr>
      </w:pPr>
    </w:p>
    <w:p w14:paraId="1F909CE3" w14:textId="77777777" w:rsidR="006A6BF2" w:rsidRPr="00925B59" w:rsidRDefault="006A6BF2" w:rsidP="00B12B13">
      <w:pPr>
        <w:rPr>
          <w:b/>
        </w:rPr>
      </w:pPr>
    </w:p>
    <w:p w14:paraId="09DF746E" w14:textId="77777777" w:rsidR="006A6BF2" w:rsidRPr="00925B59" w:rsidRDefault="006A6BF2" w:rsidP="00B12B13">
      <w:pPr>
        <w:rPr>
          <w:b/>
        </w:rPr>
      </w:pPr>
    </w:p>
    <w:p w14:paraId="5C8249C5" w14:textId="77777777" w:rsidR="006A6BF2" w:rsidRPr="00925B59" w:rsidRDefault="006A6BF2" w:rsidP="00B12B13">
      <w:pPr>
        <w:rPr>
          <w:b/>
        </w:rPr>
      </w:pPr>
    </w:p>
    <w:p w14:paraId="0D54F20C" w14:textId="77777777" w:rsidR="006A6BF2" w:rsidRPr="00925B59" w:rsidRDefault="006A6BF2" w:rsidP="00B12B13">
      <w:pPr>
        <w:rPr>
          <w:b/>
        </w:rPr>
      </w:pPr>
    </w:p>
    <w:p w14:paraId="0ED663EB" w14:textId="77777777" w:rsidR="006A6BF2" w:rsidRPr="00925B59" w:rsidRDefault="006A6BF2" w:rsidP="00B12B13">
      <w:pPr>
        <w:rPr>
          <w:b/>
        </w:rPr>
      </w:pPr>
    </w:p>
    <w:p w14:paraId="51C3F2A1" w14:textId="77777777" w:rsidR="006A6BF2" w:rsidRPr="00925B59" w:rsidRDefault="006A6BF2" w:rsidP="00B12B13">
      <w:pPr>
        <w:rPr>
          <w:b/>
        </w:rPr>
      </w:pPr>
    </w:p>
    <w:p w14:paraId="4359892F" w14:textId="77777777" w:rsidR="006A6BF2" w:rsidRPr="00925B59" w:rsidRDefault="006A6BF2" w:rsidP="00B12B13">
      <w:pPr>
        <w:ind w:left="2880"/>
        <w:jc w:val="right"/>
        <w:rPr>
          <w:b/>
        </w:rPr>
      </w:pPr>
    </w:p>
    <w:p w14:paraId="5CF0B9B9" w14:textId="77777777" w:rsidR="006A6BF2" w:rsidRPr="00925B59" w:rsidRDefault="006A6BF2" w:rsidP="00B12B13">
      <w:pPr>
        <w:ind w:left="2880"/>
        <w:jc w:val="right"/>
        <w:rPr>
          <w:b/>
        </w:rPr>
      </w:pPr>
    </w:p>
    <w:p w14:paraId="1A11CC65" w14:textId="77777777" w:rsidR="006A6BF2" w:rsidRPr="00925B59" w:rsidRDefault="006A6BF2" w:rsidP="00B12B13">
      <w:pPr>
        <w:ind w:left="2880"/>
        <w:jc w:val="right"/>
        <w:rPr>
          <w:b/>
        </w:rPr>
      </w:pPr>
    </w:p>
    <w:p w14:paraId="37DAFE88" w14:textId="77777777" w:rsidR="006A6BF2" w:rsidRPr="00925B59" w:rsidRDefault="006A6BF2" w:rsidP="00B12B13">
      <w:pPr>
        <w:ind w:left="2880"/>
        <w:jc w:val="right"/>
        <w:rPr>
          <w:b/>
        </w:rPr>
      </w:pPr>
    </w:p>
    <w:p w14:paraId="676377F4" w14:textId="77777777" w:rsidR="006A6BF2" w:rsidRPr="00925B59" w:rsidRDefault="006A6BF2" w:rsidP="00B12B13">
      <w:pPr>
        <w:ind w:left="2880"/>
        <w:jc w:val="right"/>
        <w:rPr>
          <w:b/>
        </w:rPr>
      </w:pPr>
    </w:p>
    <w:p w14:paraId="6DFDAF98" w14:textId="77777777" w:rsidR="006A6BF2" w:rsidRPr="00925B59" w:rsidRDefault="006A6BF2" w:rsidP="00B12B13">
      <w:pPr>
        <w:ind w:left="2880"/>
        <w:jc w:val="right"/>
        <w:rPr>
          <w:b/>
        </w:rPr>
      </w:pPr>
    </w:p>
    <w:p w14:paraId="38463FE6" w14:textId="77777777" w:rsidR="006A6BF2" w:rsidRPr="00925B59" w:rsidRDefault="006A6BF2" w:rsidP="00B12B13">
      <w:pPr>
        <w:ind w:left="2880"/>
        <w:jc w:val="right"/>
        <w:rPr>
          <w:b/>
        </w:rPr>
      </w:pPr>
    </w:p>
    <w:p w14:paraId="7A0E20C2" w14:textId="77777777" w:rsidR="006A6BF2" w:rsidRPr="00925B59" w:rsidRDefault="006A6BF2" w:rsidP="00B12B13">
      <w:pPr>
        <w:ind w:left="2880"/>
        <w:jc w:val="right"/>
        <w:rPr>
          <w:b/>
        </w:rPr>
      </w:pPr>
    </w:p>
    <w:p w14:paraId="0B0BBA40" w14:textId="77777777" w:rsidR="006A6BF2" w:rsidRPr="00925B59" w:rsidRDefault="006A6BF2" w:rsidP="00B12B13">
      <w:pPr>
        <w:ind w:left="2880"/>
        <w:jc w:val="right"/>
        <w:rPr>
          <w:b/>
        </w:rPr>
      </w:pPr>
    </w:p>
    <w:p w14:paraId="5BF4E1D2" w14:textId="77777777" w:rsidR="006A6BF2" w:rsidRPr="00925B59" w:rsidRDefault="006A6BF2" w:rsidP="00B12B13">
      <w:pPr>
        <w:ind w:left="2880"/>
        <w:jc w:val="right"/>
        <w:rPr>
          <w:b/>
        </w:rPr>
      </w:pPr>
    </w:p>
    <w:p w14:paraId="5C881472" w14:textId="77777777" w:rsidR="006A6BF2" w:rsidRPr="00925B59" w:rsidRDefault="006A6BF2" w:rsidP="00B12B13">
      <w:pPr>
        <w:ind w:left="2880"/>
        <w:jc w:val="right"/>
        <w:rPr>
          <w:b/>
        </w:rPr>
      </w:pPr>
    </w:p>
    <w:p w14:paraId="6B854D7A" w14:textId="77777777" w:rsidR="006A6BF2" w:rsidRPr="00925B59" w:rsidRDefault="006A6BF2" w:rsidP="00B12B13">
      <w:pPr>
        <w:ind w:left="2880"/>
        <w:jc w:val="right"/>
        <w:rPr>
          <w:b/>
        </w:rPr>
      </w:pPr>
    </w:p>
    <w:p w14:paraId="73FA2905" w14:textId="77777777" w:rsidR="006A6BF2" w:rsidRPr="00925B59" w:rsidRDefault="006A6BF2" w:rsidP="00B12B13">
      <w:pPr>
        <w:ind w:left="2880"/>
        <w:jc w:val="right"/>
        <w:rPr>
          <w:b/>
        </w:rPr>
      </w:pPr>
    </w:p>
    <w:p w14:paraId="5F048DA4" w14:textId="77777777" w:rsidR="006A6BF2" w:rsidRPr="00925B59" w:rsidRDefault="006A6BF2" w:rsidP="00B12B13">
      <w:pPr>
        <w:ind w:left="2880"/>
        <w:jc w:val="right"/>
        <w:rPr>
          <w:b/>
        </w:rPr>
      </w:pPr>
    </w:p>
    <w:p w14:paraId="683BAF7A" w14:textId="77777777" w:rsidR="00B007AE" w:rsidRDefault="00B007AE" w:rsidP="00B12B13">
      <w:pPr>
        <w:ind w:left="2880"/>
        <w:jc w:val="right"/>
        <w:rPr>
          <w:b/>
        </w:rPr>
      </w:pPr>
    </w:p>
    <w:p w14:paraId="54C7B9BB" w14:textId="7B14DAB1" w:rsidR="00B007AE" w:rsidRPr="00551F13" w:rsidRDefault="00B007AE" w:rsidP="00B007AE">
      <w:pPr>
        <w:jc w:val="right"/>
      </w:pPr>
      <w:r w:rsidRPr="00551F13">
        <w:t>Layla Hughes</w:t>
      </w:r>
    </w:p>
    <w:p w14:paraId="4CBAAAEA" w14:textId="09BD7969" w:rsidR="006A6BF2" w:rsidRPr="00551F13" w:rsidRDefault="00093C5B" w:rsidP="00B007AE">
      <w:pPr>
        <w:ind w:left="2880"/>
        <w:jc w:val="right"/>
      </w:pPr>
      <w:r>
        <w:t>September</w:t>
      </w:r>
      <w:r w:rsidR="006A6BF2" w:rsidRPr="00551F13">
        <w:t xml:space="preserve"> 2016</w:t>
      </w:r>
    </w:p>
    <w:p w14:paraId="61E1BCC2" w14:textId="77777777" w:rsidR="006A6BF2" w:rsidRPr="00925B59" w:rsidRDefault="006A6BF2" w:rsidP="00B007AE">
      <w:pPr>
        <w:rPr>
          <w:b/>
        </w:rPr>
      </w:pPr>
    </w:p>
    <w:p w14:paraId="28980E37" w14:textId="3F50ABE7" w:rsidR="00EA665E" w:rsidRPr="00925B59" w:rsidRDefault="006A6BF2" w:rsidP="00B12B13">
      <w:pPr>
        <w:rPr>
          <w:b/>
        </w:rPr>
      </w:pPr>
      <w:r w:rsidRPr="00925B59">
        <w:rPr>
          <w:b/>
        </w:rPr>
        <w:br w:type="page"/>
      </w:r>
    </w:p>
    <w:sdt>
      <w:sdtPr>
        <w:rPr>
          <w:rFonts w:ascii="Times New Roman" w:hAnsi="Times New Roman"/>
          <w:b w:val="0"/>
          <w:bCs/>
        </w:rPr>
        <w:id w:val="-2122531746"/>
        <w:docPartObj>
          <w:docPartGallery w:val="Table of Contents"/>
          <w:docPartUnique/>
        </w:docPartObj>
      </w:sdtPr>
      <w:sdtEndPr>
        <w:rPr>
          <w:bCs w:val="0"/>
          <w:noProof/>
        </w:rPr>
      </w:sdtEndPr>
      <w:sdtContent>
        <w:p w14:paraId="6A2ECC42" w14:textId="77777777" w:rsidR="001B067D" w:rsidRPr="00F3141B" w:rsidRDefault="002948DF">
          <w:pPr>
            <w:pStyle w:val="TOC1"/>
            <w:tabs>
              <w:tab w:val="right" w:leader="dot" w:pos="9350"/>
            </w:tabs>
            <w:rPr>
              <w:rFonts w:ascii="Times New Roman" w:hAnsi="Times New Roman"/>
            </w:rPr>
          </w:pPr>
          <w:r w:rsidRPr="00F3141B">
            <w:rPr>
              <w:rFonts w:ascii="Times New Roman" w:hAnsi="Times New Roman"/>
            </w:rPr>
            <w:t>Table of Contents</w:t>
          </w:r>
        </w:p>
        <w:p w14:paraId="10CDEB86" w14:textId="77777777" w:rsidR="008C612F" w:rsidRPr="008C612F" w:rsidRDefault="002948DF">
          <w:pPr>
            <w:pStyle w:val="TOC1"/>
            <w:tabs>
              <w:tab w:val="right" w:leader="dot" w:pos="9350"/>
            </w:tabs>
            <w:rPr>
              <w:rFonts w:ascii="Times New Roman" w:eastAsiaTheme="minorEastAsia" w:hAnsi="Times New Roman"/>
              <w:b w:val="0"/>
              <w:noProof/>
              <w:lang w:val="en-US" w:eastAsia="ja-JP"/>
            </w:rPr>
          </w:pPr>
          <w:r w:rsidRPr="008C612F">
            <w:rPr>
              <w:rFonts w:ascii="Times New Roman" w:hAnsi="Times New Roman"/>
            </w:rPr>
            <w:fldChar w:fldCharType="begin"/>
          </w:r>
          <w:r w:rsidRPr="008C612F">
            <w:rPr>
              <w:rFonts w:ascii="Times New Roman" w:hAnsi="Times New Roman"/>
            </w:rPr>
            <w:instrText xml:space="preserve"> TOC \o "1-3" \h \z \u </w:instrText>
          </w:r>
          <w:r w:rsidRPr="008C612F">
            <w:rPr>
              <w:rFonts w:ascii="Times New Roman" w:hAnsi="Times New Roman"/>
            </w:rPr>
            <w:fldChar w:fldCharType="separate"/>
          </w:r>
          <w:r w:rsidR="008C612F" w:rsidRPr="008C612F">
            <w:rPr>
              <w:rFonts w:ascii="Times New Roman" w:hAnsi="Times New Roman"/>
              <w:noProof/>
              <w:color w:val="000000" w:themeColor="text1"/>
            </w:rPr>
            <w:t>Forward</w:t>
          </w:r>
          <w:r w:rsidR="008C612F" w:rsidRPr="008C612F">
            <w:rPr>
              <w:rFonts w:ascii="Times New Roman" w:hAnsi="Times New Roman"/>
              <w:noProof/>
            </w:rPr>
            <w:tab/>
          </w:r>
          <w:r w:rsidR="008C612F" w:rsidRPr="008C612F">
            <w:rPr>
              <w:rFonts w:ascii="Times New Roman" w:hAnsi="Times New Roman"/>
              <w:noProof/>
            </w:rPr>
            <w:fldChar w:fldCharType="begin"/>
          </w:r>
          <w:r w:rsidR="008C612F" w:rsidRPr="008C612F">
            <w:rPr>
              <w:rFonts w:ascii="Times New Roman" w:hAnsi="Times New Roman"/>
              <w:noProof/>
            </w:rPr>
            <w:instrText xml:space="preserve"> PAGEREF _Toc334125692 \h </w:instrText>
          </w:r>
          <w:r w:rsidR="008C612F" w:rsidRPr="008C612F">
            <w:rPr>
              <w:rFonts w:ascii="Times New Roman" w:hAnsi="Times New Roman"/>
              <w:noProof/>
            </w:rPr>
          </w:r>
          <w:r w:rsidR="008C612F" w:rsidRPr="008C612F">
            <w:rPr>
              <w:rFonts w:ascii="Times New Roman" w:hAnsi="Times New Roman"/>
              <w:noProof/>
            </w:rPr>
            <w:fldChar w:fldCharType="separate"/>
          </w:r>
          <w:r w:rsidR="008C612F" w:rsidRPr="008C612F">
            <w:rPr>
              <w:rFonts w:ascii="Times New Roman" w:hAnsi="Times New Roman"/>
              <w:noProof/>
            </w:rPr>
            <w:t>3</w:t>
          </w:r>
          <w:r w:rsidR="008C612F" w:rsidRPr="008C612F">
            <w:rPr>
              <w:rFonts w:ascii="Times New Roman" w:hAnsi="Times New Roman"/>
              <w:noProof/>
            </w:rPr>
            <w:fldChar w:fldCharType="end"/>
          </w:r>
        </w:p>
        <w:p w14:paraId="46D13145" w14:textId="77777777" w:rsidR="008C612F" w:rsidRPr="008C612F" w:rsidRDefault="008C612F">
          <w:pPr>
            <w:pStyle w:val="TOC1"/>
            <w:tabs>
              <w:tab w:val="left" w:pos="393"/>
              <w:tab w:val="right" w:leader="dot" w:pos="9350"/>
            </w:tabs>
            <w:rPr>
              <w:rFonts w:ascii="Times New Roman" w:eastAsiaTheme="minorEastAsia" w:hAnsi="Times New Roman"/>
              <w:b w:val="0"/>
              <w:noProof/>
              <w:lang w:val="en-US" w:eastAsia="ja-JP"/>
            </w:rPr>
          </w:pPr>
          <w:r w:rsidRPr="008C612F">
            <w:rPr>
              <w:rFonts w:ascii="Times New Roman" w:hAnsi="Times New Roman"/>
              <w:noProof/>
            </w:rPr>
            <w:t>I.</w:t>
          </w:r>
          <w:r w:rsidRPr="008C612F">
            <w:rPr>
              <w:rFonts w:ascii="Times New Roman" w:eastAsiaTheme="minorEastAsia" w:hAnsi="Times New Roman"/>
              <w:b w:val="0"/>
              <w:noProof/>
              <w:lang w:val="en-US" w:eastAsia="ja-JP"/>
            </w:rPr>
            <w:tab/>
          </w:r>
          <w:r w:rsidRPr="008C612F">
            <w:rPr>
              <w:rFonts w:ascii="Times New Roman" w:hAnsi="Times New Roman"/>
              <w:noProof/>
            </w:rPr>
            <w:t>What is Indigenous engagement?</w:t>
          </w:r>
          <w:r w:rsidRPr="008C612F">
            <w:rPr>
              <w:rFonts w:ascii="Times New Roman" w:hAnsi="Times New Roman"/>
              <w:noProof/>
            </w:rPr>
            <w:tab/>
          </w:r>
          <w:r w:rsidRPr="008C612F">
            <w:rPr>
              <w:rFonts w:ascii="Times New Roman" w:hAnsi="Times New Roman"/>
              <w:noProof/>
            </w:rPr>
            <w:fldChar w:fldCharType="begin"/>
          </w:r>
          <w:r w:rsidRPr="008C612F">
            <w:rPr>
              <w:rFonts w:ascii="Times New Roman" w:hAnsi="Times New Roman"/>
              <w:noProof/>
            </w:rPr>
            <w:instrText xml:space="preserve"> PAGEREF _Toc334125693 \h </w:instrText>
          </w:r>
          <w:r w:rsidRPr="008C612F">
            <w:rPr>
              <w:rFonts w:ascii="Times New Roman" w:hAnsi="Times New Roman"/>
              <w:noProof/>
            </w:rPr>
          </w:r>
          <w:r w:rsidRPr="008C612F">
            <w:rPr>
              <w:rFonts w:ascii="Times New Roman" w:hAnsi="Times New Roman"/>
              <w:noProof/>
            </w:rPr>
            <w:fldChar w:fldCharType="separate"/>
          </w:r>
          <w:r w:rsidRPr="008C612F">
            <w:rPr>
              <w:rFonts w:ascii="Times New Roman" w:hAnsi="Times New Roman"/>
              <w:noProof/>
            </w:rPr>
            <w:t>4</w:t>
          </w:r>
          <w:r w:rsidRPr="008C612F">
            <w:rPr>
              <w:rFonts w:ascii="Times New Roman" w:hAnsi="Times New Roman"/>
              <w:noProof/>
            </w:rPr>
            <w:fldChar w:fldCharType="end"/>
          </w:r>
        </w:p>
        <w:p w14:paraId="625C09BE" w14:textId="77777777" w:rsidR="008C612F" w:rsidRPr="008C612F" w:rsidRDefault="008C612F">
          <w:pPr>
            <w:pStyle w:val="TOC1"/>
            <w:tabs>
              <w:tab w:val="left" w:pos="487"/>
              <w:tab w:val="right" w:leader="dot" w:pos="9350"/>
            </w:tabs>
            <w:rPr>
              <w:rFonts w:ascii="Times New Roman" w:eastAsiaTheme="minorEastAsia" w:hAnsi="Times New Roman"/>
              <w:b w:val="0"/>
              <w:noProof/>
              <w:lang w:val="en-US" w:eastAsia="ja-JP"/>
            </w:rPr>
          </w:pPr>
          <w:r w:rsidRPr="008C612F">
            <w:rPr>
              <w:rFonts w:ascii="Times New Roman" w:hAnsi="Times New Roman"/>
              <w:noProof/>
            </w:rPr>
            <w:t>II.</w:t>
          </w:r>
          <w:r w:rsidRPr="008C612F">
            <w:rPr>
              <w:rFonts w:ascii="Times New Roman" w:eastAsiaTheme="minorEastAsia" w:hAnsi="Times New Roman"/>
              <w:b w:val="0"/>
              <w:noProof/>
              <w:lang w:val="en-US" w:eastAsia="ja-JP"/>
            </w:rPr>
            <w:tab/>
          </w:r>
          <w:r w:rsidRPr="008C612F">
            <w:rPr>
              <w:rFonts w:ascii="Times New Roman" w:hAnsi="Times New Roman"/>
              <w:noProof/>
            </w:rPr>
            <w:t>What are the Purposes and Benefits of Engagement?</w:t>
          </w:r>
          <w:r w:rsidRPr="008C612F">
            <w:rPr>
              <w:rFonts w:ascii="Times New Roman" w:hAnsi="Times New Roman"/>
              <w:noProof/>
            </w:rPr>
            <w:tab/>
          </w:r>
          <w:r w:rsidRPr="008C612F">
            <w:rPr>
              <w:rFonts w:ascii="Times New Roman" w:hAnsi="Times New Roman"/>
              <w:noProof/>
            </w:rPr>
            <w:fldChar w:fldCharType="begin"/>
          </w:r>
          <w:r w:rsidRPr="008C612F">
            <w:rPr>
              <w:rFonts w:ascii="Times New Roman" w:hAnsi="Times New Roman"/>
              <w:noProof/>
            </w:rPr>
            <w:instrText xml:space="preserve"> PAGEREF _Toc334125694 \h </w:instrText>
          </w:r>
          <w:r w:rsidRPr="008C612F">
            <w:rPr>
              <w:rFonts w:ascii="Times New Roman" w:hAnsi="Times New Roman"/>
              <w:noProof/>
            </w:rPr>
          </w:r>
          <w:r w:rsidRPr="008C612F">
            <w:rPr>
              <w:rFonts w:ascii="Times New Roman" w:hAnsi="Times New Roman"/>
              <w:noProof/>
            </w:rPr>
            <w:fldChar w:fldCharType="separate"/>
          </w:r>
          <w:r w:rsidRPr="008C612F">
            <w:rPr>
              <w:rFonts w:ascii="Times New Roman" w:hAnsi="Times New Roman"/>
              <w:noProof/>
            </w:rPr>
            <w:t>6</w:t>
          </w:r>
          <w:r w:rsidRPr="008C612F">
            <w:rPr>
              <w:rFonts w:ascii="Times New Roman" w:hAnsi="Times New Roman"/>
              <w:noProof/>
            </w:rPr>
            <w:fldChar w:fldCharType="end"/>
          </w:r>
        </w:p>
        <w:p w14:paraId="7FEEAA84" w14:textId="77777777" w:rsidR="008C612F" w:rsidRPr="008C612F" w:rsidRDefault="008C612F">
          <w:pPr>
            <w:pStyle w:val="TOC1"/>
            <w:tabs>
              <w:tab w:val="left" w:pos="580"/>
              <w:tab w:val="right" w:leader="dot" w:pos="9350"/>
            </w:tabs>
            <w:rPr>
              <w:rFonts w:ascii="Times New Roman" w:eastAsiaTheme="minorEastAsia" w:hAnsi="Times New Roman"/>
              <w:b w:val="0"/>
              <w:noProof/>
              <w:lang w:val="en-US" w:eastAsia="ja-JP"/>
            </w:rPr>
          </w:pPr>
          <w:r w:rsidRPr="008C612F">
            <w:rPr>
              <w:rFonts w:ascii="Times New Roman" w:hAnsi="Times New Roman"/>
              <w:noProof/>
            </w:rPr>
            <w:t>III.</w:t>
          </w:r>
          <w:r w:rsidRPr="008C612F">
            <w:rPr>
              <w:rFonts w:ascii="Times New Roman" w:eastAsiaTheme="minorEastAsia" w:hAnsi="Times New Roman"/>
              <w:b w:val="0"/>
              <w:noProof/>
              <w:lang w:val="en-US" w:eastAsia="ja-JP"/>
            </w:rPr>
            <w:tab/>
          </w:r>
          <w:r w:rsidRPr="008C612F">
            <w:rPr>
              <w:rFonts w:ascii="Times New Roman" w:hAnsi="Times New Roman"/>
              <w:noProof/>
            </w:rPr>
            <w:t>Sources of the Obligation to Engage</w:t>
          </w:r>
          <w:r w:rsidRPr="008C612F">
            <w:rPr>
              <w:rFonts w:ascii="Times New Roman" w:hAnsi="Times New Roman"/>
              <w:noProof/>
            </w:rPr>
            <w:tab/>
          </w:r>
          <w:r w:rsidRPr="008C612F">
            <w:rPr>
              <w:rFonts w:ascii="Times New Roman" w:hAnsi="Times New Roman"/>
              <w:noProof/>
            </w:rPr>
            <w:fldChar w:fldCharType="begin"/>
          </w:r>
          <w:r w:rsidRPr="008C612F">
            <w:rPr>
              <w:rFonts w:ascii="Times New Roman" w:hAnsi="Times New Roman"/>
              <w:noProof/>
            </w:rPr>
            <w:instrText xml:space="preserve"> PAGEREF _Toc334125695 \h </w:instrText>
          </w:r>
          <w:r w:rsidRPr="008C612F">
            <w:rPr>
              <w:rFonts w:ascii="Times New Roman" w:hAnsi="Times New Roman"/>
              <w:noProof/>
            </w:rPr>
          </w:r>
          <w:r w:rsidRPr="008C612F">
            <w:rPr>
              <w:rFonts w:ascii="Times New Roman" w:hAnsi="Times New Roman"/>
              <w:noProof/>
            </w:rPr>
            <w:fldChar w:fldCharType="separate"/>
          </w:r>
          <w:r w:rsidRPr="008C612F">
            <w:rPr>
              <w:rFonts w:ascii="Times New Roman" w:hAnsi="Times New Roman"/>
              <w:noProof/>
            </w:rPr>
            <w:t>8</w:t>
          </w:r>
          <w:r w:rsidRPr="008C612F">
            <w:rPr>
              <w:rFonts w:ascii="Times New Roman" w:hAnsi="Times New Roman"/>
              <w:noProof/>
            </w:rPr>
            <w:fldChar w:fldCharType="end"/>
          </w:r>
        </w:p>
        <w:p w14:paraId="02108AC2" w14:textId="77777777" w:rsidR="008C612F" w:rsidRPr="008C612F" w:rsidRDefault="008C612F">
          <w:pPr>
            <w:pStyle w:val="TOC2"/>
            <w:tabs>
              <w:tab w:val="left" w:pos="694"/>
              <w:tab w:val="right" w:leader="dot" w:pos="9350"/>
            </w:tabs>
            <w:rPr>
              <w:rFonts w:ascii="Times New Roman" w:eastAsiaTheme="minorEastAsia" w:hAnsi="Times New Roman"/>
              <w:b w:val="0"/>
              <w:noProof/>
              <w:sz w:val="24"/>
              <w:szCs w:val="24"/>
              <w:lang w:val="en-US" w:eastAsia="ja-JP"/>
            </w:rPr>
          </w:pPr>
          <w:r w:rsidRPr="008C612F">
            <w:rPr>
              <w:rFonts w:ascii="Times New Roman" w:hAnsi="Times New Roman"/>
              <w:noProof/>
              <w:sz w:val="24"/>
              <w:szCs w:val="24"/>
            </w:rPr>
            <w:t>A.</w:t>
          </w:r>
          <w:r w:rsidRPr="008C612F">
            <w:rPr>
              <w:rFonts w:ascii="Times New Roman" w:eastAsiaTheme="minorEastAsia" w:hAnsi="Times New Roman"/>
              <w:b w:val="0"/>
              <w:noProof/>
              <w:sz w:val="24"/>
              <w:szCs w:val="24"/>
              <w:lang w:val="en-US" w:eastAsia="ja-JP"/>
            </w:rPr>
            <w:tab/>
          </w:r>
          <w:r w:rsidRPr="008C612F">
            <w:rPr>
              <w:rFonts w:ascii="Times New Roman" w:hAnsi="Times New Roman"/>
              <w:noProof/>
              <w:sz w:val="24"/>
              <w:szCs w:val="24"/>
              <w:u w:val="single"/>
            </w:rPr>
            <w:t>National legal requirements</w:t>
          </w:r>
          <w:r w:rsidRPr="008C612F">
            <w:rPr>
              <w:rFonts w:ascii="Times New Roman" w:hAnsi="Times New Roman"/>
              <w:noProof/>
              <w:sz w:val="24"/>
              <w:szCs w:val="24"/>
            </w:rPr>
            <w:tab/>
          </w:r>
          <w:r w:rsidRPr="008C612F">
            <w:rPr>
              <w:rFonts w:ascii="Times New Roman" w:hAnsi="Times New Roman"/>
              <w:noProof/>
              <w:sz w:val="24"/>
              <w:szCs w:val="24"/>
            </w:rPr>
            <w:fldChar w:fldCharType="begin"/>
          </w:r>
          <w:r w:rsidRPr="008C612F">
            <w:rPr>
              <w:rFonts w:ascii="Times New Roman" w:hAnsi="Times New Roman"/>
              <w:noProof/>
              <w:sz w:val="24"/>
              <w:szCs w:val="24"/>
            </w:rPr>
            <w:instrText xml:space="preserve"> PAGEREF _Toc334125696 \h </w:instrText>
          </w:r>
          <w:r w:rsidRPr="008C612F">
            <w:rPr>
              <w:rFonts w:ascii="Times New Roman" w:hAnsi="Times New Roman"/>
              <w:noProof/>
              <w:sz w:val="24"/>
              <w:szCs w:val="24"/>
            </w:rPr>
          </w:r>
          <w:r w:rsidRPr="008C612F">
            <w:rPr>
              <w:rFonts w:ascii="Times New Roman" w:hAnsi="Times New Roman"/>
              <w:noProof/>
              <w:sz w:val="24"/>
              <w:szCs w:val="24"/>
            </w:rPr>
            <w:fldChar w:fldCharType="separate"/>
          </w:r>
          <w:r w:rsidRPr="008C612F">
            <w:rPr>
              <w:rFonts w:ascii="Times New Roman" w:hAnsi="Times New Roman"/>
              <w:noProof/>
              <w:sz w:val="24"/>
              <w:szCs w:val="24"/>
            </w:rPr>
            <w:t>8</w:t>
          </w:r>
          <w:r w:rsidRPr="008C612F">
            <w:rPr>
              <w:rFonts w:ascii="Times New Roman" w:hAnsi="Times New Roman"/>
              <w:noProof/>
              <w:sz w:val="24"/>
              <w:szCs w:val="24"/>
            </w:rPr>
            <w:fldChar w:fldCharType="end"/>
          </w:r>
        </w:p>
        <w:p w14:paraId="4FA7F13E" w14:textId="77777777" w:rsidR="008C612F" w:rsidRPr="008C612F" w:rsidRDefault="008C612F">
          <w:pPr>
            <w:pStyle w:val="TOC2"/>
            <w:tabs>
              <w:tab w:val="left" w:pos="682"/>
              <w:tab w:val="right" w:leader="dot" w:pos="9350"/>
            </w:tabs>
            <w:rPr>
              <w:rFonts w:ascii="Times New Roman" w:eastAsiaTheme="minorEastAsia" w:hAnsi="Times New Roman"/>
              <w:b w:val="0"/>
              <w:noProof/>
              <w:sz w:val="24"/>
              <w:szCs w:val="24"/>
              <w:lang w:val="en-US" w:eastAsia="ja-JP"/>
            </w:rPr>
          </w:pPr>
          <w:r w:rsidRPr="008C612F">
            <w:rPr>
              <w:rFonts w:ascii="Times New Roman" w:hAnsi="Times New Roman"/>
              <w:noProof/>
              <w:sz w:val="24"/>
              <w:szCs w:val="24"/>
            </w:rPr>
            <w:t>B.</w:t>
          </w:r>
          <w:r w:rsidRPr="008C612F">
            <w:rPr>
              <w:rFonts w:ascii="Times New Roman" w:eastAsiaTheme="minorEastAsia" w:hAnsi="Times New Roman"/>
              <w:b w:val="0"/>
              <w:noProof/>
              <w:sz w:val="24"/>
              <w:szCs w:val="24"/>
              <w:lang w:val="en-US" w:eastAsia="ja-JP"/>
            </w:rPr>
            <w:tab/>
          </w:r>
          <w:r w:rsidRPr="008C612F">
            <w:rPr>
              <w:rFonts w:ascii="Times New Roman" w:hAnsi="Times New Roman"/>
              <w:noProof/>
              <w:sz w:val="24"/>
              <w:szCs w:val="24"/>
              <w:u w:val="single"/>
            </w:rPr>
            <w:t>International requirements</w:t>
          </w:r>
          <w:r w:rsidRPr="008C612F">
            <w:rPr>
              <w:rFonts w:ascii="Times New Roman" w:hAnsi="Times New Roman"/>
              <w:noProof/>
              <w:sz w:val="24"/>
              <w:szCs w:val="24"/>
            </w:rPr>
            <w:tab/>
          </w:r>
          <w:r w:rsidRPr="008C612F">
            <w:rPr>
              <w:rFonts w:ascii="Times New Roman" w:hAnsi="Times New Roman"/>
              <w:noProof/>
              <w:sz w:val="24"/>
              <w:szCs w:val="24"/>
            </w:rPr>
            <w:fldChar w:fldCharType="begin"/>
          </w:r>
          <w:r w:rsidRPr="008C612F">
            <w:rPr>
              <w:rFonts w:ascii="Times New Roman" w:hAnsi="Times New Roman"/>
              <w:noProof/>
              <w:sz w:val="24"/>
              <w:szCs w:val="24"/>
            </w:rPr>
            <w:instrText xml:space="preserve"> PAGEREF _Toc334125697 \h </w:instrText>
          </w:r>
          <w:r w:rsidRPr="008C612F">
            <w:rPr>
              <w:rFonts w:ascii="Times New Roman" w:hAnsi="Times New Roman"/>
              <w:noProof/>
              <w:sz w:val="24"/>
              <w:szCs w:val="24"/>
            </w:rPr>
          </w:r>
          <w:r w:rsidRPr="008C612F">
            <w:rPr>
              <w:rFonts w:ascii="Times New Roman" w:hAnsi="Times New Roman"/>
              <w:noProof/>
              <w:sz w:val="24"/>
              <w:szCs w:val="24"/>
            </w:rPr>
            <w:fldChar w:fldCharType="separate"/>
          </w:r>
          <w:r w:rsidRPr="008C612F">
            <w:rPr>
              <w:rFonts w:ascii="Times New Roman" w:hAnsi="Times New Roman"/>
              <w:noProof/>
              <w:sz w:val="24"/>
              <w:szCs w:val="24"/>
            </w:rPr>
            <w:t>9</w:t>
          </w:r>
          <w:r w:rsidRPr="008C612F">
            <w:rPr>
              <w:rFonts w:ascii="Times New Roman" w:hAnsi="Times New Roman"/>
              <w:noProof/>
              <w:sz w:val="24"/>
              <w:szCs w:val="24"/>
            </w:rPr>
            <w:fldChar w:fldCharType="end"/>
          </w:r>
        </w:p>
        <w:p w14:paraId="78DEBD46" w14:textId="77777777" w:rsidR="008C612F" w:rsidRPr="008C612F" w:rsidRDefault="008C612F">
          <w:pPr>
            <w:pStyle w:val="TOC2"/>
            <w:tabs>
              <w:tab w:val="left" w:pos="694"/>
              <w:tab w:val="right" w:leader="dot" w:pos="9350"/>
            </w:tabs>
            <w:rPr>
              <w:rFonts w:ascii="Times New Roman" w:eastAsiaTheme="minorEastAsia" w:hAnsi="Times New Roman"/>
              <w:b w:val="0"/>
              <w:noProof/>
              <w:sz w:val="24"/>
              <w:szCs w:val="24"/>
              <w:lang w:val="en-US" w:eastAsia="ja-JP"/>
            </w:rPr>
          </w:pPr>
          <w:r w:rsidRPr="008C612F">
            <w:rPr>
              <w:rFonts w:ascii="Times New Roman" w:hAnsi="Times New Roman"/>
              <w:noProof/>
              <w:sz w:val="24"/>
              <w:szCs w:val="24"/>
            </w:rPr>
            <w:t>C.</w:t>
          </w:r>
          <w:r w:rsidRPr="008C612F">
            <w:rPr>
              <w:rFonts w:ascii="Times New Roman" w:eastAsiaTheme="minorEastAsia" w:hAnsi="Times New Roman"/>
              <w:b w:val="0"/>
              <w:noProof/>
              <w:sz w:val="24"/>
              <w:szCs w:val="24"/>
              <w:lang w:val="en-US" w:eastAsia="ja-JP"/>
            </w:rPr>
            <w:tab/>
          </w:r>
          <w:r w:rsidRPr="008C612F">
            <w:rPr>
              <w:rFonts w:ascii="Times New Roman" w:hAnsi="Times New Roman"/>
              <w:noProof/>
              <w:sz w:val="24"/>
              <w:szCs w:val="24"/>
              <w:u w:val="single"/>
            </w:rPr>
            <w:t>The obligations for companies</w:t>
          </w:r>
          <w:r w:rsidRPr="008C612F">
            <w:rPr>
              <w:rFonts w:ascii="Times New Roman" w:hAnsi="Times New Roman"/>
              <w:noProof/>
              <w:sz w:val="24"/>
              <w:szCs w:val="24"/>
            </w:rPr>
            <w:tab/>
          </w:r>
          <w:r w:rsidRPr="008C612F">
            <w:rPr>
              <w:rFonts w:ascii="Times New Roman" w:hAnsi="Times New Roman"/>
              <w:noProof/>
              <w:sz w:val="24"/>
              <w:szCs w:val="24"/>
            </w:rPr>
            <w:fldChar w:fldCharType="begin"/>
          </w:r>
          <w:r w:rsidRPr="008C612F">
            <w:rPr>
              <w:rFonts w:ascii="Times New Roman" w:hAnsi="Times New Roman"/>
              <w:noProof/>
              <w:sz w:val="24"/>
              <w:szCs w:val="24"/>
            </w:rPr>
            <w:instrText xml:space="preserve"> PAGEREF _Toc334125698 \h </w:instrText>
          </w:r>
          <w:r w:rsidRPr="008C612F">
            <w:rPr>
              <w:rFonts w:ascii="Times New Roman" w:hAnsi="Times New Roman"/>
              <w:noProof/>
              <w:sz w:val="24"/>
              <w:szCs w:val="24"/>
            </w:rPr>
          </w:r>
          <w:r w:rsidRPr="008C612F">
            <w:rPr>
              <w:rFonts w:ascii="Times New Roman" w:hAnsi="Times New Roman"/>
              <w:noProof/>
              <w:sz w:val="24"/>
              <w:szCs w:val="24"/>
            </w:rPr>
            <w:fldChar w:fldCharType="separate"/>
          </w:r>
          <w:r w:rsidRPr="008C612F">
            <w:rPr>
              <w:rFonts w:ascii="Times New Roman" w:hAnsi="Times New Roman"/>
              <w:noProof/>
              <w:sz w:val="24"/>
              <w:szCs w:val="24"/>
            </w:rPr>
            <w:t>9</w:t>
          </w:r>
          <w:r w:rsidRPr="008C612F">
            <w:rPr>
              <w:rFonts w:ascii="Times New Roman" w:hAnsi="Times New Roman"/>
              <w:noProof/>
              <w:sz w:val="24"/>
              <w:szCs w:val="24"/>
            </w:rPr>
            <w:fldChar w:fldCharType="end"/>
          </w:r>
        </w:p>
        <w:p w14:paraId="141030E6" w14:textId="77777777" w:rsidR="008C612F" w:rsidRPr="008C612F" w:rsidRDefault="008C612F">
          <w:pPr>
            <w:pStyle w:val="TOC2"/>
            <w:tabs>
              <w:tab w:val="left" w:pos="694"/>
              <w:tab w:val="right" w:leader="dot" w:pos="9350"/>
            </w:tabs>
            <w:rPr>
              <w:rFonts w:ascii="Times New Roman" w:eastAsiaTheme="minorEastAsia" w:hAnsi="Times New Roman"/>
              <w:b w:val="0"/>
              <w:noProof/>
              <w:sz w:val="24"/>
              <w:szCs w:val="24"/>
              <w:lang w:val="en-US" w:eastAsia="ja-JP"/>
            </w:rPr>
          </w:pPr>
          <w:r w:rsidRPr="008C612F">
            <w:rPr>
              <w:rFonts w:ascii="Times New Roman" w:hAnsi="Times New Roman"/>
              <w:noProof/>
              <w:sz w:val="24"/>
              <w:szCs w:val="24"/>
            </w:rPr>
            <w:t>D.</w:t>
          </w:r>
          <w:r w:rsidRPr="008C612F">
            <w:rPr>
              <w:rFonts w:ascii="Times New Roman" w:eastAsiaTheme="minorEastAsia" w:hAnsi="Times New Roman"/>
              <w:b w:val="0"/>
              <w:noProof/>
              <w:sz w:val="24"/>
              <w:szCs w:val="24"/>
              <w:lang w:val="en-US" w:eastAsia="ja-JP"/>
            </w:rPr>
            <w:tab/>
          </w:r>
          <w:r w:rsidRPr="008C612F">
            <w:rPr>
              <w:rFonts w:ascii="Times New Roman" w:hAnsi="Times New Roman"/>
              <w:noProof/>
              <w:sz w:val="24"/>
              <w:szCs w:val="24"/>
              <w:u w:val="single"/>
            </w:rPr>
            <w:t>Researchers, NGOs, financial institutions, and development organizations</w:t>
          </w:r>
          <w:r w:rsidRPr="008C612F">
            <w:rPr>
              <w:rFonts w:ascii="Times New Roman" w:hAnsi="Times New Roman"/>
              <w:noProof/>
              <w:sz w:val="24"/>
              <w:szCs w:val="24"/>
            </w:rPr>
            <w:tab/>
          </w:r>
          <w:r w:rsidRPr="008C612F">
            <w:rPr>
              <w:rFonts w:ascii="Times New Roman" w:hAnsi="Times New Roman"/>
              <w:noProof/>
              <w:sz w:val="24"/>
              <w:szCs w:val="24"/>
            </w:rPr>
            <w:fldChar w:fldCharType="begin"/>
          </w:r>
          <w:r w:rsidRPr="008C612F">
            <w:rPr>
              <w:rFonts w:ascii="Times New Roman" w:hAnsi="Times New Roman"/>
              <w:noProof/>
              <w:sz w:val="24"/>
              <w:szCs w:val="24"/>
            </w:rPr>
            <w:instrText xml:space="preserve"> PAGEREF _Toc334125699 \h </w:instrText>
          </w:r>
          <w:r w:rsidRPr="008C612F">
            <w:rPr>
              <w:rFonts w:ascii="Times New Roman" w:hAnsi="Times New Roman"/>
              <w:noProof/>
              <w:sz w:val="24"/>
              <w:szCs w:val="24"/>
            </w:rPr>
          </w:r>
          <w:r w:rsidRPr="008C612F">
            <w:rPr>
              <w:rFonts w:ascii="Times New Roman" w:hAnsi="Times New Roman"/>
              <w:noProof/>
              <w:sz w:val="24"/>
              <w:szCs w:val="24"/>
            </w:rPr>
            <w:fldChar w:fldCharType="separate"/>
          </w:r>
          <w:r w:rsidRPr="008C612F">
            <w:rPr>
              <w:rFonts w:ascii="Times New Roman" w:hAnsi="Times New Roman"/>
              <w:noProof/>
              <w:sz w:val="24"/>
              <w:szCs w:val="24"/>
            </w:rPr>
            <w:t>11</w:t>
          </w:r>
          <w:r w:rsidRPr="008C612F">
            <w:rPr>
              <w:rFonts w:ascii="Times New Roman" w:hAnsi="Times New Roman"/>
              <w:noProof/>
              <w:sz w:val="24"/>
              <w:szCs w:val="24"/>
            </w:rPr>
            <w:fldChar w:fldCharType="end"/>
          </w:r>
        </w:p>
        <w:p w14:paraId="4C30B4CE" w14:textId="77777777" w:rsidR="008C612F" w:rsidRPr="008C612F" w:rsidRDefault="008C612F">
          <w:pPr>
            <w:pStyle w:val="TOC2"/>
            <w:tabs>
              <w:tab w:val="left" w:pos="682"/>
              <w:tab w:val="right" w:leader="dot" w:pos="9350"/>
            </w:tabs>
            <w:rPr>
              <w:rFonts w:ascii="Times New Roman" w:eastAsiaTheme="minorEastAsia" w:hAnsi="Times New Roman"/>
              <w:b w:val="0"/>
              <w:noProof/>
              <w:sz w:val="24"/>
              <w:szCs w:val="24"/>
              <w:lang w:val="en-US" w:eastAsia="ja-JP"/>
            </w:rPr>
          </w:pPr>
          <w:r w:rsidRPr="008C612F">
            <w:rPr>
              <w:rFonts w:ascii="Times New Roman" w:hAnsi="Times New Roman"/>
              <w:noProof/>
              <w:sz w:val="24"/>
              <w:szCs w:val="24"/>
            </w:rPr>
            <w:t>E.</w:t>
          </w:r>
          <w:r w:rsidRPr="008C612F">
            <w:rPr>
              <w:rFonts w:ascii="Times New Roman" w:eastAsiaTheme="minorEastAsia" w:hAnsi="Times New Roman"/>
              <w:b w:val="0"/>
              <w:noProof/>
              <w:sz w:val="24"/>
              <w:szCs w:val="24"/>
              <w:lang w:val="en-US" w:eastAsia="ja-JP"/>
            </w:rPr>
            <w:tab/>
          </w:r>
          <w:r w:rsidRPr="008C612F">
            <w:rPr>
              <w:rFonts w:ascii="Times New Roman" w:hAnsi="Times New Roman"/>
              <w:noProof/>
              <w:sz w:val="24"/>
              <w:szCs w:val="24"/>
              <w:u w:val="single"/>
            </w:rPr>
            <w:t>Indigenous Peoples’ authority on the obligation of engagement</w:t>
          </w:r>
          <w:r w:rsidRPr="008C612F">
            <w:rPr>
              <w:rFonts w:ascii="Times New Roman" w:hAnsi="Times New Roman"/>
              <w:noProof/>
              <w:sz w:val="24"/>
              <w:szCs w:val="24"/>
            </w:rPr>
            <w:tab/>
          </w:r>
          <w:r w:rsidRPr="008C612F">
            <w:rPr>
              <w:rFonts w:ascii="Times New Roman" w:hAnsi="Times New Roman"/>
              <w:noProof/>
              <w:sz w:val="24"/>
              <w:szCs w:val="24"/>
            </w:rPr>
            <w:fldChar w:fldCharType="begin"/>
          </w:r>
          <w:r w:rsidRPr="008C612F">
            <w:rPr>
              <w:rFonts w:ascii="Times New Roman" w:hAnsi="Times New Roman"/>
              <w:noProof/>
              <w:sz w:val="24"/>
              <w:szCs w:val="24"/>
            </w:rPr>
            <w:instrText xml:space="preserve"> PAGEREF _Toc334125700 \h </w:instrText>
          </w:r>
          <w:r w:rsidRPr="008C612F">
            <w:rPr>
              <w:rFonts w:ascii="Times New Roman" w:hAnsi="Times New Roman"/>
              <w:noProof/>
              <w:sz w:val="24"/>
              <w:szCs w:val="24"/>
            </w:rPr>
          </w:r>
          <w:r w:rsidRPr="008C612F">
            <w:rPr>
              <w:rFonts w:ascii="Times New Roman" w:hAnsi="Times New Roman"/>
              <w:noProof/>
              <w:sz w:val="24"/>
              <w:szCs w:val="24"/>
            </w:rPr>
            <w:fldChar w:fldCharType="separate"/>
          </w:r>
          <w:r w:rsidRPr="008C612F">
            <w:rPr>
              <w:rFonts w:ascii="Times New Roman" w:hAnsi="Times New Roman"/>
              <w:noProof/>
              <w:sz w:val="24"/>
              <w:szCs w:val="24"/>
            </w:rPr>
            <w:t>11</w:t>
          </w:r>
          <w:r w:rsidRPr="008C612F">
            <w:rPr>
              <w:rFonts w:ascii="Times New Roman" w:hAnsi="Times New Roman"/>
              <w:noProof/>
              <w:sz w:val="24"/>
              <w:szCs w:val="24"/>
            </w:rPr>
            <w:fldChar w:fldCharType="end"/>
          </w:r>
        </w:p>
        <w:p w14:paraId="03952718" w14:textId="77777777" w:rsidR="008C612F" w:rsidRPr="008C612F" w:rsidRDefault="008C612F">
          <w:pPr>
            <w:pStyle w:val="TOC1"/>
            <w:tabs>
              <w:tab w:val="left" w:pos="567"/>
              <w:tab w:val="right" w:leader="dot" w:pos="9350"/>
            </w:tabs>
            <w:rPr>
              <w:rFonts w:ascii="Times New Roman" w:eastAsiaTheme="minorEastAsia" w:hAnsi="Times New Roman"/>
              <w:b w:val="0"/>
              <w:noProof/>
              <w:lang w:val="en-US" w:eastAsia="ja-JP"/>
            </w:rPr>
          </w:pPr>
          <w:r w:rsidRPr="008C612F">
            <w:rPr>
              <w:rFonts w:ascii="Times New Roman" w:hAnsi="Times New Roman"/>
              <w:noProof/>
            </w:rPr>
            <w:t>IV.</w:t>
          </w:r>
          <w:r w:rsidRPr="008C612F">
            <w:rPr>
              <w:rFonts w:ascii="Times New Roman" w:eastAsiaTheme="minorEastAsia" w:hAnsi="Times New Roman"/>
              <w:b w:val="0"/>
              <w:noProof/>
              <w:lang w:val="en-US" w:eastAsia="ja-JP"/>
            </w:rPr>
            <w:tab/>
          </w:r>
          <w:r w:rsidRPr="008C612F">
            <w:rPr>
              <w:rFonts w:ascii="Times New Roman" w:hAnsi="Times New Roman"/>
              <w:noProof/>
            </w:rPr>
            <w:t>Common Good Practices for Engagement in Arctic Marine Activities</w:t>
          </w:r>
          <w:r w:rsidRPr="008C612F">
            <w:rPr>
              <w:rFonts w:ascii="Times New Roman" w:hAnsi="Times New Roman"/>
              <w:noProof/>
            </w:rPr>
            <w:tab/>
          </w:r>
          <w:r w:rsidRPr="008C612F">
            <w:rPr>
              <w:rFonts w:ascii="Times New Roman" w:hAnsi="Times New Roman"/>
              <w:noProof/>
            </w:rPr>
            <w:fldChar w:fldCharType="begin"/>
          </w:r>
          <w:r w:rsidRPr="008C612F">
            <w:rPr>
              <w:rFonts w:ascii="Times New Roman" w:hAnsi="Times New Roman"/>
              <w:noProof/>
            </w:rPr>
            <w:instrText xml:space="preserve"> PAGEREF _Toc334125701 \h </w:instrText>
          </w:r>
          <w:r w:rsidRPr="008C612F">
            <w:rPr>
              <w:rFonts w:ascii="Times New Roman" w:hAnsi="Times New Roman"/>
              <w:noProof/>
            </w:rPr>
          </w:r>
          <w:r w:rsidRPr="008C612F">
            <w:rPr>
              <w:rFonts w:ascii="Times New Roman" w:hAnsi="Times New Roman"/>
              <w:noProof/>
            </w:rPr>
            <w:fldChar w:fldCharType="separate"/>
          </w:r>
          <w:r w:rsidRPr="008C612F">
            <w:rPr>
              <w:rFonts w:ascii="Times New Roman" w:hAnsi="Times New Roman"/>
              <w:noProof/>
            </w:rPr>
            <w:t>13</w:t>
          </w:r>
          <w:r w:rsidRPr="008C612F">
            <w:rPr>
              <w:rFonts w:ascii="Times New Roman" w:hAnsi="Times New Roman"/>
              <w:noProof/>
            </w:rPr>
            <w:fldChar w:fldCharType="end"/>
          </w:r>
        </w:p>
        <w:p w14:paraId="0C09788C" w14:textId="77777777" w:rsidR="008C612F" w:rsidRPr="008C612F" w:rsidRDefault="008C612F">
          <w:pPr>
            <w:pStyle w:val="TOC2"/>
            <w:tabs>
              <w:tab w:val="left" w:pos="694"/>
              <w:tab w:val="right" w:leader="dot" w:pos="9350"/>
            </w:tabs>
            <w:rPr>
              <w:rFonts w:ascii="Times New Roman" w:eastAsiaTheme="minorEastAsia" w:hAnsi="Times New Roman"/>
              <w:b w:val="0"/>
              <w:noProof/>
              <w:sz w:val="24"/>
              <w:szCs w:val="24"/>
              <w:lang w:val="en-US" w:eastAsia="ja-JP"/>
            </w:rPr>
          </w:pPr>
          <w:r w:rsidRPr="008C612F">
            <w:rPr>
              <w:rFonts w:ascii="Times New Roman" w:hAnsi="Times New Roman"/>
              <w:noProof/>
              <w:sz w:val="24"/>
              <w:szCs w:val="24"/>
            </w:rPr>
            <w:t>A.</w:t>
          </w:r>
          <w:r w:rsidRPr="008C612F">
            <w:rPr>
              <w:rFonts w:ascii="Times New Roman" w:eastAsiaTheme="minorEastAsia" w:hAnsi="Times New Roman"/>
              <w:b w:val="0"/>
              <w:noProof/>
              <w:sz w:val="24"/>
              <w:szCs w:val="24"/>
              <w:lang w:val="en-US" w:eastAsia="ja-JP"/>
            </w:rPr>
            <w:tab/>
          </w:r>
          <w:r w:rsidRPr="008C612F">
            <w:rPr>
              <w:rFonts w:ascii="Times New Roman" w:hAnsi="Times New Roman"/>
              <w:noProof/>
              <w:sz w:val="24"/>
              <w:szCs w:val="24"/>
              <w:u w:val="single"/>
            </w:rPr>
            <w:t>Timeliness</w:t>
          </w:r>
          <w:r w:rsidRPr="008C612F">
            <w:rPr>
              <w:rFonts w:ascii="Times New Roman" w:hAnsi="Times New Roman"/>
              <w:noProof/>
              <w:sz w:val="24"/>
              <w:szCs w:val="24"/>
            </w:rPr>
            <w:tab/>
          </w:r>
          <w:r w:rsidRPr="008C612F">
            <w:rPr>
              <w:rFonts w:ascii="Times New Roman" w:hAnsi="Times New Roman"/>
              <w:noProof/>
              <w:sz w:val="24"/>
              <w:szCs w:val="24"/>
            </w:rPr>
            <w:fldChar w:fldCharType="begin"/>
          </w:r>
          <w:r w:rsidRPr="008C612F">
            <w:rPr>
              <w:rFonts w:ascii="Times New Roman" w:hAnsi="Times New Roman"/>
              <w:noProof/>
              <w:sz w:val="24"/>
              <w:szCs w:val="24"/>
            </w:rPr>
            <w:instrText xml:space="preserve"> PAGEREF _Toc334125702 \h </w:instrText>
          </w:r>
          <w:r w:rsidRPr="008C612F">
            <w:rPr>
              <w:rFonts w:ascii="Times New Roman" w:hAnsi="Times New Roman"/>
              <w:noProof/>
              <w:sz w:val="24"/>
              <w:szCs w:val="24"/>
            </w:rPr>
          </w:r>
          <w:r w:rsidRPr="008C612F">
            <w:rPr>
              <w:rFonts w:ascii="Times New Roman" w:hAnsi="Times New Roman"/>
              <w:noProof/>
              <w:sz w:val="24"/>
              <w:szCs w:val="24"/>
            </w:rPr>
            <w:fldChar w:fldCharType="separate"/>
          </w:r>
          <w:r w:rsidRPr="008C612F">
            <w:rPr>
              <w:rFonts w:ascii="Times New Roman" w:hAnsi="Times New Roman"/>
              <w:noProof/>
              <w:sz w:val="24"/>
              <w:szCs w:val="24"/>
            </w:rPr>
            <w:t>13</w:t>
          </w:r>
          <w:r w:rsidRPr="008C612F">
            <w:rPr>
              <w:rFonts w:ascii="Times New Roman" w:hAnsi="Times New Roman"/>
              <w:noProof/>
              <w:sz w:val="24"/>
              <w:szCs w:val="24"/>
            </w:rPr>
            <w:fldChar w:fldCharType="end"/>
          </w:r>
        </w:p>
        <w:p w14:paraId="62624882" w14:textId="77777777" w:rsidR="008C612F" w:rsidRPr="008C612F" w:rsidRDefault="008C612F">
          <w:pPr>
            <w:pStyle w:val="TOC3"/>
            <w:tabs>
              <w:tab w:val="left" w:pos="885"/>
              <w:tab w:val="right" w:leader="dot" w:pos="9350"/>
            </w:tabs>
            <w:rPr>
              <w:rFonts w:ascii="Times New Roman" w:eastAsiaTheme="minorEastAsia" w:hAnsi="Times New Roman"/>
              <w:noProof/>
              <w:sz w:val="24"/>
              <w:szCs w:val="24"/>
              <w:lang w:val="en-US" w:eastAsia="ja-JP"/>
            </w:rPr>
          </w:pPr>
          <w:r w:rsidRPr="008C612F">
            <w:rPr>
              <w:rFonts w:ascii="Times New Roman" w:hAnsi="Times New Roman"/>
              <w:noProof/>
              <w:sz w:val="24"/>
              <w:szCs w:val="24"/>
              <w:lang w:val="en-US"/>
            </w:rPr>
            <w:t>1.</w:t>
          </w:r>
          <w:r w:rsidRPr="008C612F">
            <w:rPr>
              <w:rFonts w:ascii="Times New Roman" w:eastAsiaTheme="minorEastAsia" w:hAnsi="Times New Roman"/>
              <w:noProof/>
              <w:sz w:val="24"/>
              <w:szCs w:val="24"/>
              <w:lang w:val="en-US" w:eastAsia="ja-JP"/>
            </w:rPr>
            <w:tab/>
          </w:r>
          <w:r w:rsidRPr="008C612F">
            <w:rPr>
              <w:rFonts w:ascii="Times New Roman" w:hAnsi="Times New Roman"/>
              <w:noProof/>
              <w:sz w:val="24"/>
              <w:szCs w:val="24"/>
              <w:lang w:val="en-US"/>
            </w:rPr>
            <w:t>Early stage of decision-making and planning</w:t>
          </w:r>
          <w:r w:rsidRPr="008C612F">
            <w:rPr>
              <w:rFonts w:ascii="Times New Roman" w:hAnsi="Times New Roman"/>
              <w:noProof/>
              <w:sz w:val="24"/>
              <w:szCs w:val="24"/>
            </w:rPr>
            <w:tab/>
          </w:r>
          <w:r w:rsidRPr="008C612F">
            <w:rPr>
              <w:rFonts w:ascii="Times New Roman" w:hAnsi="Times New Roman"/>
              <w:noProof/>
              <w:sz w:val="24"/>
              <w:szCs w:val="24"/>
            </w:rPr>
            <w:fldChar w:fldCharType="begin"/>
          </w:r>
          <w:r w:rsidRPr="008C612F">
            <w:rPr>
              <w:rFonts w:ascii="Times New Roman" w:hAnsi="Times New Roman"/>
              <w:noProof/>
              <w:sz w:val="24"/>
              <w:szCs w:val="24"/>
            </w:rPr>
            <w:instrText xml:space="preserve"> PAGEREF _Toc334125703 \h </w:instrText>
          </w:r>
          <w:r w:rsidRPr="008C612F">
            <w:rPr>
              <w:rFonts w:ascii="Times New Roman" w:hAnsi="Times New Roman"/>
              <w:noProof/>
              <w:sz w:val="24"/>
              <w:szCs w:val="24"/>
            </w:rPr>
          </w:r>
          <w:r w:rsidRPr="008C612F">
            <w:rPr>
              <w:rFonts w:ascii="Times New Roman" w:hAnsi="Times New Roman"/>
              <w:noProof/>
              <w:sz w:val="24"/>
              <w:szCs w:val="24"/>
            </w:rPr>
            <w:fldChar w:fldCharType="separate"/>
          </w:r>
          <w:r w:rsidRPr="008C612F">
            <w:rPr>
              <w:rFonts w:ascii="Times New Roman" w:hAnsi="Times New Roman"/>
              <w:noProof/>
              <w:sz w:val="24"/>
              <w:szCs w:val="24"/>
            </w:rPr>
            <w:t>14</w:t>
          </w:r>
          <w:r w:rsidRPr="008C612F">
            <w:rPr>
              <w:rFonts w:ascii="Times New Roman" w:hAnsi="Times New Roman"/>
              <w:noProof/>
              <w:sz w:val="24"/>
              <w:szCs w:val="24"/>
            </w:rPr>
            <w:fldChar w:fldCharType="end"/>
          </w:r>
        </w:p>
        <w:p w14:paraId="6F847F29" w14:textId="77777777" w:rsidR="008C612F" w:rsidRPr="008C612F" w:rsidRDefault="008C612F">
          <w:pPr>
            <w:pStyle w:val="TOC3"/>
            <w:tabs>
              <w:tab w:val="left" w:pos="885"/>
              <w:tab w:val="right" w:leader="dot" w:pos="9350"/>
            </w:tabs>
            <w:rPr>
              <w:rFonts w:ascii="Times New Roman" w:eastAsiaTheme="minorEastAsia" w:hAnsi="Times New Roman"/>
              <w:noProof/>
              <w:sz w:val="24"/>
              <w:szCs w:val="24"/>
              <w:lang w:val="en-US" w:eastAsia="ja-JP"/>
            </w:rPr>
          </w:pPr>
          <w:r w:rsidRPr="008C612F">
            <w:rPr>
              <w:rFonts w:ascii="Times New Roman" w:hAnsi="Times New Roman"/>
              <w:noProof/>
              <w:sz w:val="24"/>
              <w:szCs w:val="24"/>
            </w:rPr>
            <w:t>2.</w:t>
          </w:r>
          <w:r w:rsidRPr="008C612F">
            <w:rPr>
              <w:rFonts w:ascii="Times New Roman" w:eastAsiaTheme="minorEastAsia" w:hAnsi="Times New Roman"/>
              <w:noProof/>
              <w:sz w:val="24"/>
              <w:szCs w:val="24"/>
              <w:lang w:val="en-US" w:eastAsia="ja-JP"/>
            </w:rPr>
            <w:tab/>
          </w:r>
          <w:r w:rsidRPr="008C612F">
            <w:rPr>
              <w:rFonts w:ascii="Times New Roman" w:hAnsi="Times New Roman"/>
              <w:noProof/>
              <w:sz w:val="24"/>
              <w:szCs w:val="24"/>
            </w:rPr>
            <w:t>Sufficient time before decisions about the activity are made</w:t>
          </w:r>
          <w:r w:rsidRPr="008C612F">
            <w:rPr>
              <w:rFonts w:ascii="Times New Roman" w:hAnsi="Times New Roman"/>
              <w:noProof/>
              <w:sz w:val="24"/>
              <w:szCs w:val="24"/>
            </w:rPr>
            <w:tab/>
          </w:r>
          <w:r w:rsidRPr="008C612F">
            <w:rPr>
              <w:rFonts w:ascii="Times New Roman" w:hAnsi="Times New Roman"/>
              <w:noProof/>
              <w:sz w:val="24"/>
              <w:szCs w:val="24"/>
            </w:rPr>
            <w:fldChar w:fldCharType="begin"/>
          </w:r>
          <w:r w:rsidRPr="008C612F">
            <w:rPr>
              <w:rFonts w:ascii="Times New Roman" w:hAnsi="Times New Roman"/>
              <w:noProof/>
              <w:sz w:val="24"/>
              <w:szCs w:val="24"/>
            </w:rPr>
            <w:instrText xml:space="preserve"> PAGEREF _Toc334125704 \h </w:instrText>
          </w:r>
          <w:r w:rsidRPr="008C612F">
            <w:rPr>
              <w:rFonts w:ascii="Times New Roman" w:hAnsi="Times New Roman"/>
              <w:noProof/>
              <w:sz w:val="24"/>
              <w:szCs w:val="24"/>
            </w:rPr>
          </w:r>
          <w:r w:rsidRPr="008C612F">
            <w:rPr>
              <w:rFonts w:ascii="Times New Roman" w:hAnsi="Times New Roman"/>
              <w:noProof/>
              <w:sz w:val="24"/>
              <w:szCs w:val="24"/>
            </w:rPr>
            <w:fldChar w:fldCharType="separate"/>
          </w:r>
          <w:r w:rsidRPr="008C612F">
            <w:rPr>
              <w:rFonts w:ascii="Times New Roman" w:hAnsi="Times New Roman"/>
              <w:noProof/>
              <w:sz w:val="24"/>
              <w:szCs w:val="24"/>
            </w:rPr>
            <w:t>18</w:t>
          </w:r>
          <w:r w:rsidRPr="008C612F">
            <w:rPr>
              <w:rFonts w:ascii="Times New Roman" w:hAnsi="Times New Roman"/>
              <w:noProof/>
              <w:sz w:val="24"/>
              <w:szCs w:val="24"/>
            </w:rPr>
            <w:fldChar w:fldCharType="end"/>
          </w:r>
        </w:p>
        <w:p w14:paraId="490F433A" w14:textId="77777777" w:rsidR="008C612F" w:rsidRPr="008C612F" w:rsidRDefault="008C612F">
          <w:pPr>
            <w:pStyle w:val="TOC2"/>
            <w:tabs>
              <w:tab w:val="left" w:pos="682"/>
              <w:tab w:val="right" w:leader="dot" w:pos="9350"/>
            </w:tabs>
            <w:rPr>
              <w:rFonts w:ascii="Times New Roman" w:eastAsiaTheme="minorEastAsia" w:hAnsi="Times New Roman"/>
              <w:b w:val="0"/>
              <w:noProof/>
              <w:sz w:val="24"/>
              <w:szCs w:val="24"/>
              <w:lang w:val="en-US" w:eastAsia="ja-JP"/>
            </w:rPr>
          </w:pPr>
          <w:r w:rsidRPr="008C612F">
            <w:rPr>
              <w:rFonts w:ascii="Times New Roman" w:hAnsi="Times New Roman"/>
              <w:noProof/>
              <w:sz w:val="24"/>
              <w:szCs w:val="24"/>
            </w:rPr>
            <w:t>B.</w:t>
          </w:r>
          <w:r w:rsidRPr="008C612F">
            <w:rPr>
              <w:rFonts w:ascii="Times New Roman" w:eastAsiaTheme="minorEastAsia" w:hAnsi="Times New Roman"/>
              <w:b w:val="0"/>
              <w:noProof/>
              <w:sz w:val="24"/>
              <w:szCs w:val="24"/>
              <w:lang w:val="en-US" w:eastAsia="ja-JP"/>
            </w:rPr>
            <w:tab/>
          </w:r>
          <w:r w:rsidRPr="008C612F">
            <w:rPr>
              <w:rFonts w:ascii="Times New Roman" w:hAnsi="Times New Roman"/>
              <w:noProof/>
              <w:sz w:val="24"/>
              <w:szCs w:val="24"/>
              <w:u w:val="single"/>
            </w:rPr>
            <w:t>Adequate preparation</w:t>
          </w:r>
          <w:r w:rsidRPr="008C612F">
            <w:rPr>
              <w:rFonts w:ascii="Times New Roman" w:hAnsi="Times New Roman"/>
              <w:noProof/>
              <w:sz w:val="24"/>
              <w:szCs w:val="24"/>
            </w:rPr>
            <w:tab/>
          </w:r>
          <w:r w:rsidRPr="008C612F">
            <w:rPr>
              <w:rFonts w:ascii="Times New Roman" w:hAnsi="Times New Roman"/>
              <w:noProof/>
              <w:sz w:val="24"/>
              <w:szCs w:val="24"/>
            </w:rPr>
            <w:fldChar w:fldCharType="begin"/>
          </w:r>
          <w:r w:rsidRPr="008C612F">
            <w:rPr>
              <w:rFonts w:ascii="Times New Roman" w:hAnsi="Times New Roman"/>
              <w:noProof/>
              <w:sz w:val="24"/>
              <w:szCs w:val="24"/>
            </w:rPr>
            <w:instrText xml:space="preserve"> PAGEREF _Toc334125705 \h </w:instrText>
          </w:r>
          <w:r w:rsidRPr="008C612F">
            <w:rPr>
              <w:rFonts w:ascii="Times New Roman" w:hAnsi="Times New Roman"/>
              <w:noProof/>
              <w:sz w:val="24"/>
              <w:szCs w:val="24"/>
            </w:rPr>
          </w:r>
          <w:r w:rsidRPr="008C612F">
            <w:rPr>
              <w:rFonts w:ascii="Times New Roman" w:hAnsi="Times New Roman"/>
              <w:noProof/>
              <w:sz w:val="24"/>
              <w:szCs w:val="24"/>
            </w:rPr>
            <w:fldChar w:fldCharType="separate"/>
          </w:r>
          <w:r w:rsidRPr="008C612F">
            <w:rPr>
              <w:rFonts w:ascii="Times New Roman" w:hAnsi="Times New Roman"/>
              <w:noProof/>
              <w:sz w:val="24"/>
              <w:szCs w:val="24"/>
            </w:rPr>
            <w:t>19</w:t>
          </w:r>
          <w:r w:rsidRPr="008C612F">
            <w:rPr>
              <w:rFonts w:ascii="Times New Roman" w:hAnsi="Times New Roman"/>
              <w:noProof/>
              <w:sz w:val="24"/>
              <w:szCs w:val="24"/>
            </w:rPr>
            <w:fldChar w:fldCharType="end"/>
          </w:r>
        </w:p>
        <w:p w14:paraId="6992E14F" w14:textId="77777777" w:rsidR="008C612F" w:rsidRPr="008C612F" w:rsidRDefault="008C612F">
          <w:pPr>
            <w:pStyle w:val="TOC2"/>
            <w:tabs>
              <w:tab w:val="left" w:pos="694"/>
              <w:tab w:val="right" w:leader="dot" w:pos="9350"/>
            </w:tabs>
            <w:rPr>
              <w:rFonts w:ascii="Times New Roman" w:eastAsiaTheme="minorEastAsia" w:hAnsi="Times New Roman"/>
              <w:b w:val="0"/>
              <w:noProof/>
              <w:sz w:val="24"/>
              <w:szCs w:val="24"/>
              <w:lang w:val="en-US" w:eastAsia="ja-JP"/>
            </w:rPr>
          </w:pPr>
          <w:r w:rsidRPr="008C612F">
            <w:rPr>
              <w:rFonts w:ascii="Times New Roman" w:hAnsi="Times New Roman"/>
              <w:noProof/>
              <w:sz w:val="24"/>
              <w:szCs w:val="24"/>
            </w:rPr>
            <w:t>C.</w:t>
          </w:r>
          <w:r w:rsidRPr="008C612F">
            <w:rPr>
              <w:rFonts w:ascii="Times New Roman" w:eastAsiaTheme="minorEastAsia" w:hAnsi="Times New Roman"/>
              <w:b w:val="0"/>
              <w:noProof/>
              <w:sz w:val="24"/>
              <w:szCs w:val="24"/>
              <w:lang w:val="en-US" w:eastAsia="ja-JP"/>
            </w:rPr>
            <w:tab/>
          </w:r>
          <w:r w:rsidRPr="008C612F">
            <w:rPr>
              <w:rFonts w:ascii="Times New Roman" w:hAnsi="Times New Roman"/>
              <w:noProof/>
              <w:sz w:val="24"/>
              <w:szCs w:val="24"/>
              <w:u w:val="single"/>
            </w:rPr>
            <w:t>Careful evaluation of the parties who will participate in the process</w:t>
          </w:r>
          <w:r w:rsidRPr="008C612F">
            <w:rPr>
              <w:rFonts w:ascii="Times New Roman" w:hAnsi="Times New Roman"/>
              <w:noProof/>
              <w:sz w:val="24"/>
              <w:szCs w:val="24"/>
            </w:rPr>
            <w:tab/>
          </w:r>
          <w:r w:rsidRPr="008C612F">
            <w:rPr>
              <w:rFonts w:ascii="Times New Roman" w:hAnsi="Times New Roman"/>
              <w:noProof/>
              <w:sz w:val="24"/>
              <w:szCs w:val="24"/>
            </w:rPr>
            <w:fldChar w:fldCharType="begin"/>
          </w:r>
          <w:r w:rsidRPr="008C612F">
            <w:rPr>
              <w:rFonts w:ascii="Times New Roman" w:hAnsi="Times New Roman"/>
              <w:noProof/>
              <w:sz w:val="24"/>
              <w:szCs w:val="24"/>
            </w:rPr>
            <w:instrText xml:space="preserve"> PAGEREF _Toc334125706 \h </w:instrText>
          </w:r>
          <w:r w:rsidRPr="008C612F">
            <w:rPr>
              <w:rFonts w:ascii="Times New Roman" w:hAnsi="Times New Roman"/>
              <w:noProof/>
              <w:sz w:val="24"/>
              <w:szCs w:val="24"/>
            </w:rPr>
          </w:r>
          <w:r w:rsidRPr="008C612F">
            <w:rPr>
              <w:rFonts w:ascii="Times New Roman" w:hAnsi="Times New Roman"/>
              <w:noProof/>
              <w:sz w:val="24"/>
              <w:szCs w:val="24"/>
            </w:rPr>
            <w:fldChar w:fldCharType="separate"/>
          </w:r>
          <w:r w:rsidRPr="008C612F">
            <w:rPr>
              <w:rFonts w:ascii="Times New Roman" w:hAnsi="Times New Roman"/>
              <w:noProof/>
              <w:sz w:val="24"/>
              <w:szCs w:val="24"/>
            </w:rPr>
            <w:t>22</w:t>
          </w:r>
          <w:r w:rsidRPr="008C612F">
            <w:rPr>
              <w:rFonts w:ascii="Times New Roman" w:hAnsi="Times New Roman"/>
              <w:noProof/>
              <w:sz w:val="24"/>
              <w:szCs w:val="24"/>
            </w:rPr>
            <w:fldChar w:fldCharType="end"/>
          </w:r>
        </w:p>
        <w:p w14:paraId="42DA7A5A" w14:textId="77777777" w:rsidR="008C612F" w:rsidRPr="008C612F" w:rsidRDefault="008C612F" w:rsidP="00594E1A">
          <w:pPr>
            <w:pStyle w:val="TOC2"/>
            <w:tabs>
              <w:tab w:val="left" w:pos="694"/>
              <w:tab w:val="right" w:leader="dot" w:pos="9350"/>
            </w:tabs>
            <w:ind w:left="630" w:hanging="360"/>
            <w:rPr>
              <w:rFonts w:ascii="Times New Roman" w:eastAsiaTheme="minorEastAsia" w:hAnsi="Times New Roman"/>
              <w:b w:val="0"/>
              <w:noProof/>
              <w:sz w:val="24"/>
              <w:szCs w:val="24"/>
              <w:lang w:val="en-US" w:eastAsia="ja-JP"/>
            </w:rPr>
          </w:pPr>
          <w:r w:rsidRPr="008C612F">
            <w:rPr>
              <w:rFonts w:ascii="Times New Roman" w:hAnsi="Times New Roman"/>
              <w:noProof/>
              <w:sz w:val="24"/>
              <w:szCs w:val="24"/>
            </w:rPr>
            <w:t>D.</w:t>
          </w:r>
          <w:r w:rsidRPr="008C612F">
            <w:rPr>
              <w:rFonts w:ascii="Times New Roman" w:eastAsiaTheme="minorEastAsia" w:hAnsi="Times New Roman"/>
              <w:b w:val="0"/>
              <w:noProof/>
              <w:sz w:val="24"/>
              <w:szCs w:val="24"/>
              <w:lang w:val="en-US" w:eastAsia="ja-JP"/>
            </w:rPr>
            <w:tab/>
          </w:r>
          <w:r w:rsidRPr="008C612F">
            <w:rPr>
              <w:rFonts w:ascii="Times New Roman" w:hAnsi="Times New Roman"/>
              <w:noProof/>
              <w:sz w:val="24"/>
              <w:szCs w:val="24"/>
              <w:u w:val="single"/>
            </w:rPr>
            <w:t>Identification of the activities that require engagement and of the degree of engagement that is necessary</w:t>
          </w:r>
          <w:r w:rsidRPr="008C612F">
            <w:rPr>
              <w:rFonts w:ascii="Times New Roman" w:hAnsi="Times New Roman"/>
              <w:noProof/>
              <w:sz w:val="24"/>
              <w:szCs w:val="24"/>
            </w:rPr>
            <w:tab/>
          </w:r>
          <w:r w:rsidRPr="008C612F">
            <w:rPr>
              <w:rFonts w:ascii="Times New Roman" w:hAnsi="Times New Roman"/>
              <w:noProof/>
              <w:sz w:val="24"/>
              <w:szCs w:val="24"/>
            </w:rPr>
            <w:fldChar w:fldCharType="begin"/>
          </w:r>
          <w:r w:rsidRPr="008C612F">
            <w:rPr>
              <w:rFonts w:ascii="Times New Roman" w:hAnsi="Times New Roman"/>
              <w:noProof/>
              <w:sz w:val="24"/>
              <w:szCs w:val="24"/>
            </w:rPr>
            <w:instrText xml:space="preserve"> PAGEREF _Toc334125707 \h </w:instrText>
          </w:r>
          <w:r w:rsidRPr="008C612F">
            <w:rPr>
              <w:rFonts w:ascii="Times New Roman" w:hAnsi="Times New Roman"/>
              <w:noProof/>
              <w:sz w:val="24"/>
              <w:szCs w:val="24"/>
            </w:rPr>
          </w:r>
          <w:r w:rsidRPr="008C612F">
            <w:rPr>
              <w:rFonts w:ascii="Times New Roman" w:hAnsi="Times New Roman"/>
              <w:noProof/>
              <w:sz w:val="24"/>
              <w:szCs w:val="24"/>
            </w:rPr>
            <w:fldChar w:fldCharType="separate"/>
          </w:r>
          <w:r w:rsidRPr="008C612F">
            <w:rPr>
              <w:rFonts w:ascii="Times New Roman" w:hAnsi="Times New Roman"/>
              <w:noProof/>
              <w:sz w:val="24"/>
              <w:szCs w:val="24"/>
            </w:rPr>
            <w:t>25</w:t>
          </w:r>
          <w:r w:rsidRPr="008C612F">
            <w:rPr>
              <w:rFonts w:ascii="Times New Roman" w:hAnsi="Times New Roman"/>
              <w:noProof/>
              <w:sz w:val="24"/>
              <w:szCs w:val="24"/>
            </w:rPr>
            <w:fldChar w:fldCharType="end"/>
          </w:r>
        </w:p>
        <w:p w14:paraId="5294A2B0" w14:textId="77777777" w:rsidR="008C612F" w:rsidRPr="008C612F" w:rsidRDefault="008C612F" w:rsidP="00594E1A">
          <w:pPr>
            <w:pStyle w:val="TOC2"/>
            <w:tabs>
              <w:tab w:val="left" w:pos="682"/>
              <w:tab w:val="right" w:leader="dot" w:pos="9350"/>
            </w:tabs>
            <w:ind w:left="270"/>
            <w:rPr>
              <w:rFonts w:ascii="Times New Roman" w:eastAsiaTheme="minorEastAsia" w:hAnsi="Times New Roman"/>
              <w:b w:val="0"/>
              <w:noProof/>
              <w:sz w:val="24"/>
              <w:szCs w:val="24"/>
              <w:lang w:val="en-US" w:eastAsia="ja-JP"/>
            </w:rPr>
          </w:pPr>
          <w:r w:rsidRPr="008C612F">
            <w:rPr>
              <w:rFonts w:ascii="Times New Roman" w:hAnsi="Times New Roman"/>
              <w:noProof/>
              <w:sz w:val="24"/>
              <w:szCs w:val="24"/>
            </w:rPr>
            <w:t>E.</w:t>
          </w:r>
          <w:r w:rsidRPr="008C612F">
            <w:rPr>
              <w:rFonts w:ascii="Times New Roman" w:eastAsiaTheme="minorEastAsia" w:hAnsi="Times New Roman"/>
              <w:b w:val="0"/>
              <w:noProof/>
              <w:sz w:val="24"/>
              <w:szCs w:val="24"/>
              <w:lang w:val="en-US" w:eastAsia="ja-JP"/>
            </w:rPr>
            <w:tab/>
          </w:r>
          <w:r w:rsidRPr="008C612F">
            <w:rPr>
              <w:rFonts w:ascii="Times New Roman" w:hAnsi="Times New Roman"/>
              <w:noProof/>
              <w:sz w:val="24"/>
              <w:szCs w:val="24"/>
              <w:u w:val="single"/>
            </w:rPr>
            <w:t>Comprehensive, culturally appropriate information sharing</w:t>
          </w:r>
          <w:r w:rsidRPr="008C612F">
            <w:rPr>
              <w:rFonts w:ascii="Times New Roman" w:hAnsi="Times New Roman"/>
              <w:noProof/>
              <w:sz w:val="24"/>
              <w:szCs w:val="24"/>
            </w:rPr>
            <w:tab/>
          </w:r>
          <w:r w:rsidRPr="008C612F">
            <w:rPr>
              <w:rFonts w:ascii="Times New Roman" w:hAnsi="Times New Roman"/>
              <w:noProof/>
              <w:sz w:val="24"/>
              <w:szCs w:val="24"/>
            </w:rPr>
            <w:fldChar w:fldCharType="begin"/>
          </w:r>
          <w:r w:rsidRPr="008C612F">
            <w:rPr>
              <w:rFonts w:ascii="Times New Roman" w:hAnsi="Times New Roman"/>
              <w:noProof/>
              <w:sz w:val="24"/>
              <w:szCs w:val="24"/>
            </w:rPr>
            <w:instrText xml:space="preserve"> PAGEREF _Toc334125708 \h </w:instrText>
          </w:r>
          <w:r w:rsidRPr="008C612F">
            <w:rPr>
              <w:rFonts w:ascii="Times New Roman" w:hAnsi="Times New Roman"/>
              <w:noProof/>
              <w:sz w:val="24"/>
              <w:szCs w:val="24"/>
            </w:rPr>
          </w:r>
          <w:r w:rsidRPr="008C612F">
            <w:rPr>
              <w:rFonts w:ascii="Times New Roman" w:hAnsi="Times New Roman"/>
              <w:noProof/>
              <w:sz w:val="24"/>
              <w:szCs w:val="24"/>
            </w:rPr>
            <w:fldChar w:fldCharType="separate"/>
          </w:r>
          <w:r w:rsidRPr="008C612F">
            <w:rPr>
              <w:rFonts w:ascii="Times New Roman" w:hAnsi="Times New Roman"/>
              <w:noProof/>
              <w:sz w:val="24"/>
              <w:szCs w:val="24"/>
            </w:rPr>
            <w:t>27</w:t>
          </w:r>
          <w:r w:rsidRPr="008C612F">
            <w:rPr>
              <w:rFonts w:ascii="Times New Roman" w:hAnsi="Times New Roman"/>
              <w:noProof/>
              <w:sz w:val="24"/>
              <w:szCs w:val="24"/>
            </w:rPr>
            <w:fldChar w:fldCharType="end"/>
          </w:r>
        </w:p>
        <w:p w14:paraId="2B322B88" w14:textId="77777777" w:rsidR="008C612F" w:rsidRPr="008C612F" w:rsidRDefault="008C612F">
          <w:pPr>
            <w:pStyle w:val="TOC3"/>
            <w:tabs>
              <w:tab w:val="left" w:pos="885"/>
              <w:tab w:val="right" w:leader="dot" w:pos="9350"/>
            </w:tabs>
            <w:rPr>
              <w:rFonts w:ascii="Times New Roman" w:eastAsiaTheme="minorEastAsia" w:hAnsi="Times New Roman"/>
              <w:noProof/>
              <w:sz w:val="24"/>
              <w:szCs w:val="24"/>
              <w:lang w:val="en-US" w:eastAsia="ja-JP"/>
            </w:rPr>
          </w:pPr>
          <w:r w:rsidRPr="008C612F">
            <w:rPr>
              <w:rFonts w:ascii="Times New Roman" w:hAnsi="Times New Roman"/>
              <w:noProof/>
              <w:sz w:val="24"/>
              <w:szCs w:val="24"/>
              <w:lang w:val="en-US"/>
            </w:rPr>
            <w:t>1.</w:t>
          </w:r>
          <w:r w:rsidRPr="008C612F">
            <w:rPr>
              <w:rFonts w:ascii="Times New Roman" w:eastAsiaTheme="minorEastAsia" w:hAnsi="Times New Roman"/>
              <w:noProof/>
              <w:sz w:val="24"/>
              <w:szCs w:val="24"/>
              <w:lang w:val="en-US" w:eastAsia="ja-JP"/>
            </w:rPr>
            <w:tab/>
          </w:r>
          <w:r w:rsidRPr="008C612F">
            <w:rPr>
              <w:rFonts w:ascii="Times New Roman" w:hAnsi="Times New Roman"/>
              <w:noProof/>
              <w:sz w:val="24"/>
              <w:szCs w:val="24"/>
              <w:lang w:val="en-US"/>
            </w:rPr>
            <w:t>Culturally appropriate and accessible</w:t>
          </w:r>
          <w:r w:rsidRPr="008C612F">
            <w:rPr>
              <w:rFonts w:ascii="Times New Roman" w:hAnsi="Times New Roman"/>
              <w:noProof/>
              <w:sz w:val="24"/>
              <w:szCs w:val="24"/>
            </w:rPr>
            <w:tab/>
          </w:r>
          <w:r w:rsidRPr="008C612F">
            <w:rPr>
              <w:rFonts w:ascii="Times New Roman" w:hAnsi="Times New Roman"/>
              <w:noProof/>
              <w:sz w:val="24"/>
              <w:szCs w:val="24"/>
            </w:rPr>
            <w:fldChar w:fldCharType="begin"/>
          </w:r>
          <w:r w:rsidRPr="008C612F">
            <w:rPr>
              <w:rFonts w:ascii="Times New Roman" w:hAnsi="Times New Roman"/>
              <w:noProof/>
              <w:sz w:val="24"/>
              <w:szCs w:val="24"/>
            </w:rPr>
            <w:instrText xml:space="preserve"> PAGEREF _Toc334125709 \h </w:instrText>
          </w:r>
          <w:r w:rsidRPr="008C612F">
            <w:rPr>
              <w:rFonts w:ascii="Times New Roman" w:hAnsi="Times New Roman"/>
              <w:noProof/>
              <w:sz w:val="24"/>
              <w:szCs w:val="24"/>
            </w:rPr>
          </w:r>
          <w:r w:rsidRPr="008C612F">
            <w:rPr>
              <w:rFonts w:ascii="Times New Roman" w:hAnsi="Times New Roman"/>
              <w:noProof/>
              <w:sz w:val="24"/>
              <w:szCs w:val="24"/>
            </w:rPr>
            <w:fldChar w:fldCharType="separate"/>
          </w:r>
          <w:r w:rsidRPr="008C612F">
            <w:rPr>
              <w:rFonts w:ascii="Times New Roman" w:hAnsi="Times New Roman"/>
              <w:noProof/>
              <w:sz w:val="24"/>
              <w:szCs w:val="24"/>
            </w:rPr>
            <w:t>28</w:t>
          </w:r>
          <w:r w:rsidRPr="008C612F">
            <w:rPr>
              <w:rFonts w:ascii="Times New Roman" w:hAnsi="Times New Roman"/>
              <w:noProof/>
              <w:sz w:val="24"/>
              <w:szCs w:val="24"/>
            </w:rPr>
            <w:fldChar w:fldCharType="end"/>
          </w:r>
        </w:p>
        <w:p w14:paraId="3EBCC1F8" w14:textId="77777777" w:rsidR="008C612F" w:rsidRPr="008C612F" w:rsidRDefault="008C612F">
          <w:pPr>
            <w:pStyle w:val="TOC3"/>
            <w:tabs>
              <w:tab w:val="left" w:pos="885"/>
              <w:tab w:val="right" w:leader="dot" w:pos="9350"/>
            </w:tabs>
            <w:rPr>
              <w:rFonts w:ascii="Times New Roman" w:eastAsiaTheme="minorEastAsia" w:hAnsi="Times New Roman"/>
              <w:noProof/>
              <w:sz w:val="24"/>
              <w:szCs w:val="24"/>
              <w:lang w:val="en-US" w:eastAsia="ja-JP"/>
            </w:rPr>
          </w:pPr>
          <w:r w:rsidRPr="008C612F">
            <w:rPr>
              <w:rFonts w:ascii="Times New Roman" w:hAnsi="Times New Roman"/>
              <w:noProof/>
              <w:sz w:val="24"/>
              <w:szCs w:val="24"/>
            </w:rPr>
            <w:t>2.</w:t>
          </w:r>
          <w:r w:rsidRPr="008C612F">
            <w:rPr>
              <w:rFonts w:ascii="Times New Roman" w:eastAsiaTheme="minorEastAsia" w:hAnsi="Times New Roman"/>
              <w:noProof/>
              <w:sz w:val="24"/>
              <w:szCs w:val="24"/>
              <w:lang w:val="en-US" w:eastAsia="ja-JP"/>
            </w:rPr>
            <w:tab/>
          </w:r>
          <w:r w:rsidRPr="008C612F">
            <w:rPr>
              <w:rFonts w:ascii="Times New Roman" w:hAnsi="Times New Roman"/>
              <w:noProof/>
              <w:sz w:val="24"/>
              <w:szCs w:val="24"/>
            </w:rPr>
            <w:t>Transparent and adequately funded</w:t>
          </w:r>
          <w:r w:rsidRPr="008C612F">
            <w:rPr>
              <w:rFonts w:ascii="Times New Roman" w:hAnsi="Times New Roman"/>
              <w:noProof/>
              <w:sz w:val="24"/>
              <w:szCs w:val="24"/>
            </w:rPr>
            <w:tab/>
          </w:r>
          <w:r w:rsidRPr="008C612F">
            <w:rPr>
              <w:rFonts w:ascii="Times New Roman" w:hAnsi="Times New Roman"/>
              <w:noProof/>
              <w:sz w:val="24"/>
              <w:szCs w:val="24"/>
            </w:rPr>
            <w:fldChar w:fldCharType="begin"/>
          </w:r>
          <w:r w:rsidRPr="008C612F">
            <w:rPr>
              <w:rFonts w:ascii="Times New Roman" w:hAnsi="Times New Roman"/>
              <w:noProof/>
              <w:sz w:val="24"/>
              <w:szCs w:val="24"/>
            </w:rPr>
            <w:instrText xml:space="preserve"> PAGEREF _Toc334125710 \h </w:instrText>
          </w:r>
          <w:r w:rsidRPr="008C612F">
            <w:rPr>
              <w:rFonts w:ascii="Times New Roman" w:hAnsi="Times New Roman"/>
              <w:noProof/>
              <w:sz w:val="24"/>
              <w:szCs w:val="24"/>
            </w:rPr>
          </w:r>
          <w:r w:rsidRPr="008C612F">
            <w:rPr>
              <w:rFonts w:ascii="Times New Roman" w:hAnsi="Times New Roman"/>
              <w:noProof/>
              <w:sz w:val="24"/>
              <w:szCs w:val="24"/>
            </w:rPr>
            <w:fldChar w:fldCharType="separate"/>
          </w:r>
          <w:r w:rsidRPr="008C612F">
            <w:rPr>
              <w:rFonts w:ascii="Times New Roman" w:hAnsi="Times New Roman"/>
              <w:noProof/>
              <w:sz w:val="24"/>
              <w:szCs w:val="24"/>
            </w:rPr>
            <w:t>29</w:t>
          </w:r>
          <w:r w:rsidRPr="008C612F">
            <w:rPr>
              <w:rFonts w:ascii="Times New Roman" w:hAnsi="Times New Roman"/>
              <w:noProof/>
              <w:sz w:val="24"/>
              <w:szCs w:val="24"/>
            </w:rPr>
            <w:fldChar w:fldCharType="end"/>
          </w:r>
        </w:p>
        <w:p w14:paraId="6A6A1E75" w14:textId="77777777" w:rsidR="008C612F" w:rsidRPr="008C612F" w:rsidRDefault="008C612F">
          <w:pPr>
            <w:pStyle w:val="TOC3"/>
            <w:tabs>
              <w:tab w:val="left" w:pos="885"/>
              <w:tab w:val="right" w:leader="dot" w:pos="9350"/>
            </w:tabs>
            <w:rPr>
              <w:rFonts w:ascii="Times New Roman" w:eastAsiaTheme="minorEastAsia" w:hAnsi="Times New Roman"/>
              <w:noProof/>
              <w:sz w:val="24"/>
              <w:szCs w:val="24"/>
              <w:lang w:val="en-US" w:eastAsia="ja-JP"/>
            </w:rPr>
          </w:pPr>
          <w:r w:rsidRPr="008C612F">
            <w:rPr>
              <w:rFonts w:ascii="Times New Roman" w:hAnsi="Times New Roman"/>
              <w:noProof/>
              <w:sz w:val="24"/>
              <w:szCs w:val="24"/>
            </w:rPr>
            <w:t>3.</w:t>
          </w:r>
          <w:r w:rsidRPr="008C612F">
            <w:rPr>
              <w:rFonts w:ascii="Times New Roman" w:eastAsiaTheme="minorEastAsia" w:hAnsi="Times New Roman"/>
              <w:noProof/>
              <w:sz w:val="24"/>
              <w:szCs w:val="24"/>
              <w:lang w:val="en-US" w:eastAsia="ja-JP"/>
            </w:rPr>
            <w:tab/>
          </w:r>
          <w:r w:rsidRPr="008C612F">
            <w:rPr>
              <w:rFonts w:ascii="Times New Roman" w:hAnsi="Times New Roman"/>
              <w:noProof/>
              <w:sz w:val="24"/>
              <w:szCs w:val="24"/>
            </w:rPr>
            <w:t>Indigenous Knowledge and community based monitoring</w:t>
          </w:r>
          <w:r w:rsidRPr="008C612F">
            <w:rPr>
              <w:rFonts w:ascii="Times New Roman" w:hAnsi="Times New Roman"/>
              <w:noProof/>
              <w:sz w:val="24"/>
              <w:szCs w:val="24"/>
            </w:rPr>
            <w:tab/>
          </w:r>
          <w:r w:rsidRPr="008C612F">
            <w:rPr>
              <w:rFonts w:ascii="Times New Roman" w:hAnsi="Times New Roman"/>
              <w:noProof/>
              <w:sz w:val="24"/>
              <w:szCs w:val="24"/>
            </w:rPr>
            <w:fldChar w:fldCharType="begin"/>
          </w:r>
          <w:r w:rsidRPr="008C612F">
            <w:rPr>
              <w:rFonts w:ascii="Times New Roman" w:hAnsi="Times New Roman"/>
              <w:noProof/>
              <w:sz w:val="24"/>
              <w:szCs w:val="24"/>
            </w:rPr>
            <w:instrText xml:space="preserve"> PAGEREF _Toc334125711 \h </w:instrText>
          </w:r>
          <w:r w:rsidRPr="008C612F">
            <w:rPr>
              <w:rFonts w:ascii="Times New Roman" w:hAnsi="Times New Roman"/>
              <w:noProof/>
              <w:sz w:val="24"/>
              <w:szCs w:val="24"/>
            </w:rPr>
          </w:r>
          <w:r w:rsidRPr="008C612F">
            <w:rPr>
              <w:rFonts w:ascii="Times New Roman" w:hAnsi="Times New Roman"/>
              <w:noProof/>
              <w:sz w:val="24"/>
              <w:szCs w:val="24"/>
            </w:rPr>
            <w:fldChar w:fldCharType="separate"/>
          </w:r>
          <w:r w:rsidRPr="008C612F">
            <w:rPr>
              <w:rFonts w:ascii="Times New Roman" w:hAnsi="Times New Roman"/>
              <w:noProof/>
              <w:sz w:val="24"/>
              <w:szCs w:val="24"/>
            </w:rPr>
            <w:t>31</w:t>
          </w:r>
          <w:r w:rsidRPr="008C612F">
            <w:rPr>
              <w:rFonts w:ascii="Times New Roman" w:hAnsi="Times New Roman"/>
              <w:noProof/>
              <w:sz w:val="24"/>
              <w:szCs w:val="24"/>
            </w:rPr>
            <w:fldChar w:fldCharType="end"/>
          </w:r>
        </w:p>
        <w:p w14:paraId="041F66C5" w14:textId="77777777" w:rsidR="008C612F" w:rsidRPr="008C612F" w:rsidRDefault="008C612F">
          <w:pPr>
            <w:pStyle w:val="TOC2"/>
            <w:tabs>
              <w:tab w:val="left" w:pos="669"/>
              <w:tab w:val="right" w:leader="dot" w:pos="9350"/>
            </w:tabs>
            <w:rPr>
              <w:rFonts w:ascii="Times New Roman" w:eastAsiaTheme="minorEastAsia" w:hAnsi="Times New Roman"/>
              <w:b w:val="0"/>
              <w:noProof/>
              <w:sz w:val="24"/>
              <w:szCs w:val="24"/>
              <w:lang w:val="en-US" w:eastAsia="ja-JP"/>
            </w:rPr>
          </w:pPr>
          <w:r w:rsidRPr="008C612F">
            <w:rPr>
              <w:rFonts w:ascii="Times New Roman" w:hAnsi="Times New Roman"/>
              <w:noProof/>
              <w:sz w:val="24"/>
              <w:szCs w:val="24"/>
            </w:rPr>
            <w:t>F.</w:t>
          </w:r>
          <w:r w:rsidRPr="008C612F">
            <w:rPr>
              <w:rFonts w:ascii="Times New Roman" w:eastAsiaTheme="minorEastAsia" w:hAnsi="Times New Roman"/>
              <w:b w:val="0"/>
              <w:noProof/>
              <w:sz w:val="24"/>
              <w:szCs w:val="24"/>
              <w:lang w:val="en-US" w:eastAsia="ja-JP"/>
            </w:rPr>
            <w:tab/>
          </w:r>
          <w:r w:rsidRPr="008C612F">
            <w:rPr>
              <w:rFonts w:ascii="Times New Roman" w:hAnsi="Times New Roman"/>
              <w:noProof/>
              <w:sz w:val="24"/>
              <w:szCs w:val="24"/>
              <w:u w:val="single"/>
            </w:rPr>
            <w:t>Ongoing communication focused on relationship-building</w:t>
          </w:r>
          <w:r w:rsidRPr="008C612F">
            <w:rPr>
              <w:rFonts w:ascii="Times New Roman" w:hAnsi="Times New Roman"/>
              <w:noProof/>
              <w:sz w:val="24"/>
              <w:szCs w:val="24"/>
            </w:rPr>
            <w:tab/>
          </w:r>
          <w:r w:rsidRPr="008C612F">
            <w:rPr>
              <w:rFonts w:ascii="Times New Roman" w:hAnsi="Times New Roman"/>
              <w:noProof/>
              <w:sz w:val="24"/>
              <w:szCs w:val="24"/>
            </w:rPr>
            <w:fldChar w:fldCharType="begin"/>
          </w:r>
          <w:r w:rsidRPr="008C612F">
            <w:rPr>
              <w:rFonts w:ascii="Times New Roman" w:hAnsi="Times New Roman"/>
              <w:noProof/>
              <w:sz w:val="24"/>
              <w:szCs w:val="24"/>
            </w:rPr>
            <w:instrText xml:space="preserve"> PAGEREF _Toc334125712 \h </w:instrText>
          </w:r>
          <w:r w:rsidRPr="008C612F">
            <w:rPr>
              <w:rFonts w:ascii="Times New Roman" w:hAnsi="Times New Roman"/>
              <w:noProof/>
              <w:sz w:val="24"/>
              <w:szCs w:val="24"/>
            </w:rPr>
          </w:r>
          <w:r w:rsidRPr="008C612F">
            <w:rPr>
              <w:rFonts w:ascii="Times New Roman" w:hAnsi="Times New Roman"/>
              <w:noProof/>
              <w:sz w:val="24"/>
              <w:szCs w:val="24"/>
            </w:rPr>
            <w:fldChar w:fldCharType="separate"/>
          </w:r>
          <w:r w:rsidRPr="008C612F">
            <w:rPr>
              <w:rFonts w:ascii="Times New Roman" w:hAnsi="Times New Roman"/>
              <w:noProof/>
              <w:sz w:val="24"/>
              <w:szCs w:val="24"/>
            </w:rPr>
            <w:t>34</w:t>
          </w:r>
          <w:r w:rsidRPr="008C612F">
            <w:rPr>
              <w:rFonts w:ascii="Times New Roman" w:hAnsi="Times New Roman"/>
              <w:noProof/>
              <w:sz w:val="24"/>
              <w:szCs w:val="24"/>
            </w:rPr>
            <w:fldChar w:fldCharType="end"/>
          </w:r>
        </w:p>
        <w:p w14:paraId="43B63522" w14:textId="77777777" w:rsidR="008C612F" w:rsidRPr="008C612F" w:rsidRDefault="008C612F">
          <w:pPr>
            <w:pStyle w:val="TOC2"/>
            <w:tabs>
              <w:tab w:val="left" w:pos="706"/>
              <w:tab w:val="right" w:leader="dot" w:pos="9350"/>
            </w:tabs>
            <w:rPr>
              <w:rFonts w:ascii="Times New Roman" w:eastAsiaTheme="minorEastAsia" w:hAnsi="Times New Roman"/>
              <w:b w:val="0"/>
              <w:noProof/>
              <w:sz w:val="24"/>
              <w:szCs w:val="24"/>
              <w:lang w:val="en-US" w:eastAsia="ja-JP"/>
            </w:rPr>
          </w:pPr>
          <w:r w:rsidRPr="008C612F">
            <w:rPr>
              <w:rFonts w:ascii="Times New Roman" w:hAnsi="Times New Roman"/>
              <w:noProof/>
              <w:sz w:val="24"/>
              <w:szCs w:val="24"/>
            </w:rPr>
            <w:t>G.</w:t>
          </w:r>
          <w:r w:rsidRPr="008C612F">
            <w:rPr>
              <w:rFonts w:ascii="Times New Roman" w:eastAsiaTheme="minorEastAsia" w:hAnsi="Times New Roman"/>
              <w:b w:val="0"/>
              <w:noProof/>
              <w:sz w:val="24"/>
              <w:szCs w:val="24"/>
              <w:lang w:val="en-US" w:eastAsia="ja-JP"/>
            </w:rPr>
            <w:tab/>
          </w:r>
          <w:r w:rsidRPr="008C612F">
            <w:rPr>
              <w:rFonts w:ascii="Times New Roman" w:hAnsi="Times New Roman"/>
              <w:noProof/>
              <w:sz w:val="24"/>
              <w:szCs w:val="24"/>
              <w:u w:val="single"/>
            </w:rPr>
            <w:t>A good faith intent to reach consensus</w:t>
          </w:r>
          <w:r w:rsidRPr="008C612F">
            <w:rPr>
              <w:rFonts w:ascii="Times New Roman" w:hAnsi="Times New Roman"/>
              <w:noProof/>
              <w:sz w:val="24"/>
              <w:szCs w:val="24"/>
            </w:rPr>
            <w:tab/>
          </w:r>
          <w:r w:rsidRPr="008C612F">
            <w:rPr>
              <w:rFonts w:ascii="Times New Roman" w:hAnsi="Times New Roman"/>
              <w:noProof/>
              <w:sz w:val="24"/>
              <w:szCs w:val="24"/>
            </w:rPr>
            <w:fldChar w:fldCharType="begin"/>
          </w:r>
          <w:r w:rsidRPr="008C612F">
            <w:rPr>
              <w:rFonts w:ascii="Times New Roman" w:hAnsi="Times New Roman"/>
              <w:noProof/>
              <w:sz w:val="24"/>
              <w:szCs w:val="24"/>
            </w:rPr>
            <w:instrText xml:space="preserve"> PAGEREF _Toc334125713 \h </w:instrText>
          </w:r>
          <w:r w:rsidRPr="008C612F">
            <w:rPr>
              <w:rFonts w:ascii="Times New Roman" w:hAnsi="Times New Roman"/>
              <w:noProof/>
              <w:sz w:val="24"/>
              <w:szCs w:val="24"/>
            </w:rPr>
          </w:r>
          <w:r w:rsidRPr="008C612F">
            <w:rPr>
              <w:rFonts w:ascii="Times New Roman" w:hAnsi="Times New Roman"/>
              <w:noProof/>
              <w:sz w:val="24"/>
              <w:szCs w:val="24"/>
            </w:rPr>
            <w:fldChar w:fldCharType="separate"/>
          </w:r>
          <w:r w:rsidRPr="008C612F">
            <w:rPr>
              <w:rFonts w:ascii="Times New Roman" w:hAnsi="Times New Roman"/>
              <w:noProof/>
              <w:sz w:val="24"/>
              <w:szCs w:val="24"/>
            </w:rPr>
            <w:t>37</w:t>
          </w:r>
          <w:r w:rsidRPr="008C612F">
            <w:rPr>
              <w:rFonts w:ascii="Times New Roman" w:hAnsi="Times New Roman"/>
              <w:noProof/>
              <w:sz w:val="24"/>
              <w:szCs w:val="24"/>
            </w:rPr>
            <w:fldChar w:fldCharType="end"/>
          </w:r>
        </w:p>
        <w:p w14:paraId="40214194" w14:textId="77777777" w:rsidR="008C612F" w:rsidRPr="008C612F" w:rsidRDefault="008C612F">
          <w:pPr>
            <w:pStyle w:val="TOC2"/>
            <w:tabs>
              <w:tab w:val="left" w:pos="706"/>
              <w:tab w:val="right" w:leader="dot" w:pos="9350"/>
            </w:tabs>
            <w:rPr>
              <w:rFonts w:ascii="Times New Roman" w:eastAsiaTheme="minorEastAsia" w:hAnsi="Times New Roman"/>
              <w:b w:val="0"/>
              <w:noProof/>
              <w:sz w:val="24"/>
              <w:szCs w:val="24"/>
              <w:lang w:val="en-US" w:eastAsia="ja-JP"/>
            </w:rPr>
          </w:pPr>
          <w:r w:rsidRPr="008C612F">
            <w:rPr>
              <w:rFonts w:ascii="Times New Roman" w:hAnsi="Times New Roman"/>
              <w:noProof/>
              <w:sz w:val="24"/>
              <w:szCs w:val="24"/>
            </w:rPr>
            <w:t>H.</w:t>
          </w:r>
          <w:r w:rsidRPr="008C612F">
            <w:rPr>
              <w:rFonts w:ascii="Times New Roman" w:eastAsiaTheme="minorEastAsia" w:hAnsi="Times New Roman"/>
              <w:b w:val="0"/>
              <w:noProof/>
              <w:sz w:val="24"/>
              <w:szCs w:val="24"/>
              <w:lang w:val="en-US" w:eastAsia="ja-JP"/>
            </w:rPr>
            <w:tab/>
          </w:r>
          <w:r w:rsidRPr="008C612F">
            <w:rPr>
              <w:rFonts w:ascii="Times New Roman" w:hAnsi="Times New Roman"/>
              <w:noProof/>
              <w:sz w:val="24"/>
              <w:szCs w:val="24"/>
              <w:u w:val="single"/>
            </w:rPr>
            <w:t>Consent in some cases</w:t>
          </w:r>
          <w:r w:rsidRPr="008C612F">
            <w:rPr>
              <w:rFonts w:ascii="Times New Roman" w:hAnsi="Times New Roman"/>
              <w:noProof/>
              <w:sz w:val="24"/>
              <w:szCs w:val="24"/>
            </w:rPr>
            <w:tab/>
          </w:r>
          <w:r w:rsidRPr="008C612F">
            <w:rPr>
              <w:rFonts w:ascii="Times New Roman" w:hAnsi="Times New Roman"/>
              <w:noProof/>
              <w:sz w:val="24"/>
              <w:szCs w:val="24"/>
            </w:rPr>
            <w:fldChar w:fldCharType="begin"/>
          </w:r>
          <w:r w:rsidRPr="008C612F">
            <w:rPr>
              <w:rFonts w:ascii="Times New Roman" w:hAnsi="Times New Roman"/>
              <w:noProof/>
              <w:sz w:val="24"/>
              <w:szCs w:val="24"/>
            </w:rPr>
            <w:instrText xml:space="preserve"> PAGEREF _Toc334125714 \h </w:instrText>
          </w:r>
          <w:r w:rsidRPr="008C612F">
            <w:rPr>
              <w:rFonts w:ascii="Times New Roman" w:hAnsi="Times New Roman"/>
              <w:noProof/>
              <w:sz w:val="24"/>
              <w:szCs w:val="24"/>
            </w:rPr>
          </w:r>
          <w:r w:rsidRPr="008C612F">
            <w:rPr>
              <w:rFonts w:ascii="Times New Roman" w:hAnsi="Times New Roman"/>
              <w:noProof/>
              <w:sz w:val="24"/>
              <w:szCs w:val="24"/>
            </w:rPr>
            <w:fldChar w:fldCharType="separate"/>
          </w:r>
          <w:r w:rsidRPr="008C612F">
            <w:rPr>
              <w:rFonts w:ascii="Times New Roman" w:hAnsi="Times New Roman"/>
              <w:noProof/>
              <w:sz w:val="24"/>
              <w:szCs w:val="24"/>
            </w:rPr>
            <w:t>39</w:t>
          </w:r>
          <w:r w:rsidRPr="008C612F">
            <w:rPr>
              <w:rFonts w:ascii="Times New Roman" w:hAnsi="Times New Roman"/>
              <w:noProof/>
              <w:sz w:val="24"/>
              <w:szCs w:val="24"/>
            </w:rPr>
            <w:fldChar w:fldCharType="end"/>
          </w:r>
        </w:p>
        <w:p w14:paraId="56DD97A4" w14:textId="77777777" w:rsidR="008C612F" w:rsidRPr="008C612F" w:rsidRDefault="008C612F">
          <w:pPr>
            <w:pStyle w:val="TOC2"/>
            <w:tabs>
              <w:tab w:val="left" w:pos="621"/>
              <w:tab w:val="right" w:leader="dot" w:pos="9350"/>
            </w:tabs>
            <w:rPr>
              <w:rFonts w:ascii="Times New Roman" w:eastAsiaTheme="minorEastAsia" w:hAnsi="Times New Roman"/>
              <w:b w:val="0"/>
              <w:noProof/>
              <w:sz w:val="24"/>
              <w:szCs w:val="24"/>
              <w:lang w:val="en-US" w:eastAsia="ja-JP"/>
            </w:rPr>
          </w:pPr>
          <w:r w:rsidRPr="008C612F">
            <w:rPr>
              <w:rFonts w:ascii="Times New Roman" w:hAnsi="Times New Roman"/>
              <w:noProof/>
              <w:sz w:val="24"/>
              <w:szCs w:val="24"/>
            </w:rPr>
            <w:t>I.</w:t>
          </w:r>
          <w:r w:rsidRPr="008C612F">
            <w:rPr>
              <w:rFonts w:ascii="Times New Roman" w:eastAsiaTheme="minorEastAsia" w:hAnsi="Times New Roman"/>
              <w:b w:val="0"/>
              <w:noProof/>
              <w:sz w:val="24"/>
              <w:szCs w:val="24"/>
              <w:lang w:val="en-US" w:eastAsia="ja-JP"/>
            </w:rPr>
            <w:tab/>
          </w:r>
          <w:r w:rsidRPr="008C612F">
            <w:rPr>
              <w:rFonts w:ascii="Times New Roman" w:hAnsi="Times New Roman"/>
              <w:noProof/>
              <w:sz w:val="24"/>
              <w:szCs w:val="24"/>
              <w:u w:val="single"/>
            </w:rPr>
            <w:t>Accountability</w:t>
          </w:r>
          <w:r w:rsidRPr="008C612F">
            <w:rPr>
              <w:rFonts w:ascii="Times New Roman" w:hAnsi="Times New Roman"/>
              <w:noProof/>
              <w:sz w:val="24"/>
              <w:szCs w:val="24"/>
            </w:rPr>
            <w:tab/>
          </w:r>
          <w:r w:rsidRPr="008C612F">
            <w:rPr>
              <w:rFonts w:ascii="Times New Roman" w:hAnsi="Times New Roman"/>
              <w:noProof/>
              <w:sz w:val="24"/>
              <w:szCs w:val="24"/>
            </w:rPr>
            <w:fldChar w:fldCharType="begin"/>
          </w:r>
          <w:r w:rsidRPr="008C612F">
            <w:rPr>
              <w:rFonts w:ascii="Times New Roman" w:hAnsi="Times New Roman"/>
              <w:noProof/>
              <w:sz w:val="24"/>
              <w:szCs w:val="24"/>
            </w:rPr>
            <w:instrText xml:space="preserve"> PAGEREF _Toc334125715 \h </w:instrText>
          </w:r>
          <w:r w:rsidRPr="008C612F">
            <w:rPr>
              <w:rFonts w:ascii="Times New Roman" w:hAnsi="Times New Roman"/>
              <w:noProof/>
              <w:sz w:val="24"/>
              <w:szCs w:val="24"/>
            </w:rPr>
          </w:r>
          <w:r w:rsidRPr="008C612F">
            <w:rPr>
              <w:rFonts w:ascii="Times New Roman" w:hAnsi="Times New Roman"/>
              <w:noProof/>
              <w:sz w:val="24"/>
              <w:szCs w:val="24"/>
            </w:rPr>
            <w:fldChar w:fldCharType="separate"/>
          </w:r>
          <w:r w:rsidRPr="008C612F">
            <w:rPr>
              <w:rFonts w:ascii="Times New Roman" w:hAnsi="Times New Roman"/>
              <w:noProof/>
              <w:sz w:val="24"/>
              <w:szCs w:val="24"/>
            </w:rPr>
            <w:t>42</w:t>
          </w:r>
          <w:r w:rsidRPr="008C612F">
            <w:rPr>
              <w:rFonts w:ascii="Times New Roman" w:hAnsi="Times New Roman"/>
              <w:noProof/>
              <w:sz w:val="24"/>
              <w:szCs w:val="24"/>
            </w:rPr>
            <w:fldChar w:fldCharType="end"/>
          </w:r>
        </w:p>
        <w:p w14:paraId="0E0F565B" w14:textId="77777777" w:rsidR="008C612F" w:rsidRPr="008C612F" w:rsidRDefault="008C612F">
          <w:pPr>
            <w:pStyle w:val="TOC2"/>
            <w:tabs>
              <w:tab w:val="left" w:pos="645"/>
              <w:tab w:val="right" w:leader="dot" w:pos="9350"/>
            </w:tabs>
            <w:rPr>
              <w:rFonts w:ascii="Times New Roman" w:eastAsiaTheme="minorEastAsia" w:hAnsi="Times New Roman"/>
              <w:b w:val="0"/>
              <w:noProof/>
              <w:sz w:val="24"/>
              <w:szCs w:val="24"/>
              <w:lang w:val="en-US" w:eastAsia="ja-JP"/>
            </w:rPr>
          </w:pPr>
          <w:r w:rsidRPr="008C612F">
            <w:rPr>
              <w:rFonts w:ascii="Times New Roman" w:hAnsi="Times New Roman"/>
              <w:noProof/>
              <w:sz w:val="24"/>
              <w:szCs w:val="24"/>
            </w:rPr>
            <w:t>J.</w:t>
          </w:r>
          <w:r w:rsidRPr="008C612F">
            <w:rPr>
              <w:rFonts w:ascii="Times New Roman" w:eastAsiaTheme="minorEastAsia" w:hAnsi="Times New Roman"/>
              <w:b w:val="0"/>
              <w:noProof/>
              <w:sz w:val="24"/>
              <w:szCs w:val="24"/>
              <w:lang w:val="en-US" w:eastAsia="ja-JP"/>
            </w:rPr>
            <w:tab/>
          </w:r>
          <w:r w:rsidRPr="008C612F">
            <w:rPr>
              <w:rFonts w:ascii="Times New Roman" w:hAnsi="Times New Roman"/>
              <w:noProof/>
              <w:sz w:val="24"/>
              <w:szCs w:val="24"/>
              <w:u w:val="single"/>
            </w:rPr>
            <w:t>Shared benefits</w:t>
          </w:r>
          <w:r w:rsidRPr="008C612F">
            <w:rPr>
              <w:rFonts w:ascii="Times New Roman" w:hAnsi="Times New Roman"/>
              <w:noProof/>
              <w:sz w:val="24"/>
              <w:szCs w:val="24"/>
            </w:rPr>
            <w:tab/>
          </w:r>
          <w:r w:rsidRPr="008C612F">
            <w:rPr>
              <w:rFonts w:ascii="Times New Roman" w:hAnsi="Times New Roman"/>
              <w:noProof/>
              <w:sz w:val="24"/>
              <w:szCs w:val="24"/>
            </w:rPr>
            <w:fldChar w:fldCharType="begin"/>
          </w:r>
          <w:r w:rsidRPr="008C612F">
            <w:rPr>
              <w:rFonts w:ascii="Times New Roman" w:hAnsi="Times New Roman"/>
              <w:noProof/>
              <w:sz w:val="24"/>
              <w:szCs w:val="24"/>
            </w:rPr>
            <w:instrText xml:space="preserve"> PAGEREF _Toc334125716 \h </w:instrText>
          </w:r>
          <w:r w:rsidRPr="008C612F">
            <w:rPr>
              <w:rFonts w:ascii="Times New Roman" w:hAnsi="Times New Roman"/>
              <w:noProof/>
              <w:sz w:val="24"/>
              <w:szCs w:val="24"/>
            </w:rPr>
          </w:r>
          <w:r w:rsidRPr="008C612F">
            <w:rPr>
              <w:rFonts w:ascii="Times New Roman" w:hAnsi="Times New Roman"/>
              <w:noProof/>
              <w:sz w:val="24"/>
              <w:szCs w:val="24"/>
            </w:rPr>
            <w:fldChar w:fldCharType="separate"/>
          </w:r>
          <w:r w:rsidRPr="008C612F">
            <w:rPr>
              <w:rFonts w:ascii="Times New Roman" w:hAnsi="Times New Roman"/>
              <w:noProof/>
              <w:sz w:val="24"/>
              <w:szCs w:val="24"/>
            </w:rPr>
            <w:t>44</w:t>
          </w:r>
          <w:r w:rsidRPr="008C612F">
            <w:rPr>
              <w:rFonts w:ascii="Times New Roman" w:hAnsi="Times New Roman"/>
              <w:noProof/>
              <w:sz w:val="24"/>
              <w:szCs w:val="24"/>
            </w:rPr>
            <w:fldChar w:fldCharType="end"/>
          </w:r>
        </w:p>
        <w:p w14:paraId="7D70AA7C" w14:textId="77777777" w:rsidR="008C612F" w:rsidRPr="008C612F" w:rsidRDefault="008C612F">
          <w:pPr>
            <w:pStyle w:val="TOC2"/>
            <w:tabs>
              <w:tab w:val="left" w:pos="706"/>
              <w:tab w:val="right" w:leader="dot" w:pos="9350"/>
            </w:tabs>
            <w:rPr>
              <w:rFonts w:ascii="Times New Roman" w:eastAsiaTheme="minorEastAsia" w:hAnsi="Times New Roman"/>
              <w:b w:val="0"/>
              <w:noProof/>
              <w:sz w:val="24"/>
              <w:szCs w:val="24"/>
              <w:lang w:val="en-US" w:eastAsia="ja-JP"/>
            </w:rPr>
          </w:pPr>
          <w:r w:rsidRPr="008C612F">
            <w:rPr>
              <w:rFonts w:ascii="Times New Roman" w:hAnsi="Times New Roman"/>
              <w:noProof/>
              <w:sz w:val="24"/>
              <w:szCs w:val="24"/>
            </w:rPr>
            <w:t>K.</w:t>
          </w:r>
          <w:r w:rsidRPr="008C612F">
            <w:rPr>
              <w:rFonts w:ascii="Times New Roman" w:eastAsiaTheme="minorEastAsia" w:hAnsi="Times New Roman"/>
              <w:b w:val="0"/>
              <w:noProof/>
              <w:sz w:val="24"/>
              <w:szCs w:val="24"/>
              <w:lang w:val="en-US" w:eastAsia="ja-JP"/>
            </w:rPr>
            <w:tab/>
          </w:r>
          <w:r w:rsidRPr="008C612F">
            <w:rPr>
              <w:rFonts w:ascii="Times New Roman" w:hAnsi="Times New Roman"/>
              <w:noProof/>
              <w:sz w:val="24"/>
              <w:szCs w:val="24"/>
              <w:u w:val="single"/>
            </w:rPr>
            <w:t>Shared decision-making</w:t>
          </w:r>
          <w:r w:rsidRPr="008C612F">
            <w:rPr>
              <w:rFonts w:ascii="Times New Roman" w:hAnsi="Times New Roman"/>
              <w:noProof/>
              <w:sz w:val="24"/>
              <w:szCs w:val="24"/>
            </w:rPr>
            <w:tab/>
          </w:r>
          <w:r w:rsidRPr="008C612F">
            <w:rPr>
              <w:rFonts w:ascii="Times New Roman" w:hAnsi="Times New Roman"/>
              <w:noProof/>
              <w:sz w:val="24"/>
              <w:szCs w:val="24"/>
            </w:rPr>
            <w:fldChar w:fldCharType="begin"/>
          </w:r>
          <w:r w:rsidRPr="008C612F">
            <w:rPr>
              <w:rFonts w:ascii="Times New Roman" w:hAnsi="Times New Roman"/>
              <w:noProof/>
              <w:sz w:val="24"/>
              <w:szCs w:val="24"/>
            </w:rPr>
            <w:instrText xml:space="preserve"> PAGEREF _Toc334125717 \h </w:instrText>
          </w:r>
          <w:r w:rsidRPr="008C612F">
            <w:rPr>
              <w:rFonts w:ascii="Times New Roman" w:hAnsi="Times New Roman"/>
              <w:noProof/>
              <w:sz w:val="24"/>
              <w:szCs w:val="24"/>
            </w:rPr>
          </w:r>
          <w:r w:rsidRPr="008C612F">
            <w:rPr>
              <w:rFonts w:ascii="Times New Roman" w:hAnsi="Times New Roman"/>
              <w:noProof/>
              <w:sz w:val="24"/>
              <w:szCs w:val="24"/>
            </w:rPr>
            <w:fldChar w:fldCharType="separate"/>
          </w:r>
          <w:r w:rsidRPr="008C612F">
            <w:rPr>
              <w:rFonts w:ascii="Times New Roman" w:hAnsi="Times New Roman"/>
              <w:noProof/>
              <w:sz w:val="24"/>
              <w:szCs w:val="24"/>
            </w:rPr>
            <w:t>48</w:t>
          </w:r>
          <w:r w:rsidRPr="008C612F">
            <w:rPr>
              <w:rFonts w:ascii="Times New Roman" w:hAnsi="Times New Roman"/>
              <w:noProof/>
              <w:sz w:val="24"/>
              <w:szCs w:val="24"/>
            </w:rPr>
            <w:fldChar w:fldCharType="end"/>
          </w:r>
        </w:p>
        <w:p w14:paraId="6649578C" w14:textId="77777777" w:rsidR="008C612F" w:rsidRPr="008C612F" w:rsidRDefault="008C612F">
          <w:pPr>
            <w:pStyle w:val="TOC2"/>
            <w:tabs>
              <w:tab w:val="left" w:pos="682"/>
              <w:tab w:val="right" w:leader="dot" w:pos="9350"/>
            </w:tabs>
            <w:rPr>
              <w:rFonts w:ascii="Times New Roman" w:eastAsiaTheme="minorEastAsia" w:hAnsi="Times New Roman"/>
              <w:b w:val="0"/>
              <w:noProof/>
              <w:sz w:val="24"/>
              <w:szCs w:val="24"/>
              <w:lang w:val="en-US" w:eastAsia="ja-JP"/>
            </w:rPr>
          </w:pPr>
          <w:r w:rsidRPr="008C612F">
            <w:rPr>
              <w:rFonts w:ascii="Times New Roman" w:hAnsi="Times New Roman"/>
              <w:noProof/>
              <w:sz w:val="24"/>
              <w:szCs w:val="24"/>
            </w:rPr>
            <w:t>L.</w:t>
          </w:r>
          <w:r w:rsidRPr="008C612F">
            <w:rPr>
              <w:rFonts w:ascii="Times New Roman" w:eastAsiaTheme="minorEastAsia" w:hAnsi="Times New Roman"/>
              <w:b w:val="0"/>
              <w:noProof/>
              <w:sz w:val="24"/>
              <w:szCs w:val="24"/>
              <w:lang w:val="en-US" w:eastAsia="ja-JP"/>
            </w:rPr>
            <w:tab/>
          </w:r>
          <w:r w:rsidRPr="008C612F">
            <w:rPr>
              <w:rFonts w:ascii="Times New Roman" w:hAnsi="Times New Roman"/>
              <w:noProof/>
              <w:sz w:val="24"/>
              <w:szCs w:val="24"/>
              <w:u w:val="single"/>
            </w:rPr>
            <w:t>Honoring of the autonomy and human rights of Indigenous Peoples</w:t>
          </w:r>
          <w:r w:rsidRPr="008C612F">
            <w:rPr>
              <w:rFonts w:ascii="Times New Roman" w:hAnsi="Times New Roman"/>
              <w:noProof/>
              <w:sz w:val="24"/>
              <w:szCs w:val="24"/>
            </w:rPr>
            <w:tab/>
          </w:r>
          <w:r w:rsidRPr="008C612F">
            <w:rPr>
              <w:rFonts w:ascii="Times New Roman" w:hAnsi="Times New Roman"/>
              <w:noProof/>
              <w:sz w:val="24"/>
              <w:szCs w:val="24"/>
            </w:rPr>
            <w:fldChar w:fldCharType="begin"/>
          </w:r>
          <w:r w:rsidRPr="008C612F">
            <w:rPr>
              <w:rFonts w:ascii="Times New Roman" w:hAnsi="Times New Roman"/>
              <w:noProof/>
              <w:sz w:val="24"/>
              <w:szCs w:val="24"/>
            </w:rPr>
            <w:instrText xml:space="preserve"> PAGEREF _Toc334125718 \h </w:instrText>
          </w:r>
          <w:r w:rsidRPr="008C612F">
            <w:rPr>
              <w:rFonts w:ascii="Times New Roman" w:hAnsi="Times New Roman"/>
              <w:noProof/>
              <w:sz w:val="24"/>
              <w:szCs w:val="24"/>
            </w:rPr>
          </w:r>
          <w:r w:rsidRPr="008C612F">
            <w:rPr>
              <w:rFonts w:ascii="Times New Roman" w:hAnsi="Times New Roman"/>
              <w:noProof/>
              <w:sz w:val="24"/>
              <w:szCs w:val="24"/>
            </w:rPr>
            <w:fldChar w:fldCharType="separate"/>
          </w:r>
          <w:r w:rsidRPr="008C612F">
            <w:rPr>
              <w:rFonts w:ascii="Times New Roman" w:hAnsi="Times New Roman"/>
              <w:noProof/>
              <w:sz w:val="24"/>
              <w:szCs w:val="24"/>
            </w:rPr>
            <w:t>51</w:t>
          </w:r>
          <w:r w:rsidRPr="008C612F">
            <w:rPr>
              <w:rFonts w:ascii="Times New Roman" w:hAnsi="Times New Roman"/>
              <w:noProof/>
              <w:sz w:val="24"/>
              <w:szCs w:val="24"/>
            </w:rPr>
            <w:fldChar w:fldCharType="end"/>
          </w:r>
        </w:p>
        <w:p w14:paraId="26B0837B" w14:textId="77777777" w:rsidR="008C612F" w:rsidRPr="008C612F" w:rsidRDefault="008C612F">
          <w:pPr>
            <w:pStyle w:val="TOC1"/>
            <w:tabs>
              <w:tab w:val="left" w:pos="473"/>
              <w:tab w:val="right" w:leader="dot" w:pos="9350"/>
            </w:tabs>
            <w:rPr>
              <w:rFonts w:ascii="Times New Roman" w:eastAsiaTheme="minorEastAsia" w:hAnsi="Times New Roman"/>
              <w:b w:val="0"/>
              <w:noProof/>
              <w:lang w:val="en-US" w:eastAsia="ja-JP"/>
            </w:rPr>
          </w:pPr>
          <w:r w:rsidRPr="008C612F">
            <w:rPr>
              <w:rFonts w:ascii="Times New Roman" w:hAnsi="Times New Roman"/>
              <w:noProof/>
            </w:rPr>
            <w:t>V.</w:t>
          </w:r>
          <w:r w:rsidRPr="008C612F">
            <w:rPr>
              <w:rFonts w:ascii="Times New Roman" w:eastAsiaTheme="minorEastAsia" w:hAnsi="Times New Roman"/>
              <w:b w:val="0"/>
              <w:noProof/>
              <w:lang w:val="en-US" w:eastAsia="ja-JP"/>
            </w:rPr>
            <w:tab/>
          </w:r>
          <w:r w:rsidRPr="008C612F">
            <w:rPr>
              <w:rFonts w:ascii="Times New Roman" w:hAnsi="Times New Roman"/>
              <w:noProof/>
            </w:rPr>
            <w:t>The Arctic Council and Indigenous Engagement</w:t>
          </w:r>
          <w:r w:rsidRPr="008C612F">
            <w:rPr>
              <w:rFonts w:ascii="Times New Roman" w:hAnsi="Times New Roman"/>
              <w:noProof/>
            </w:rPr>
            <w:tab/>
          </w:r>
          <w:r w:rsidRPr="008C612F">
            <w:rPr>
              <w:rFonts w:ascii="Times New Roman" w:hAnsi="Times New Roman"/>
              <w:noProof/>
            </w:rPr>
            <w:fldChar w:fldCharType="begin"/>
          </w:r>
          <w:r w:rsidRPr="008C612F">
            <w:rPr>
              <w:rFonts w:ascii="Times New Roman" w:hAnsi="Times New Roman"/>
              <w:noProof/>
            </w:rPr>
            <w:instrText xml:space="preserve"> PAGEREF _Toc334125719 \h </w:instrText>
          </w:r>
          <w:r w:rsidRPr="008C612F">
            <w:rPr>
              <w:rFonts w:ascii="Times New Roman" w:hAnsi="Times New Roman"/>
              <w:noProof/>
            </w:rPr>
          </w:r>
          <w:r w:rsidRPr="008C612F">
            <w:rPr>
              <w:rFonts w:ascii="Times New Roman" w:hAnsi="Times New Roman"/>
              <w:noProof/>
            </w:rPr>
            <w:fldChar w:fldCharType="separate"/>
          </w:r>
          <w:r w:rsidRPr="008C612F">
            <w:rPr>
              <w:rFonts w:ascii="Times New Roman" w:hAnsi="Times New Roman"/>
              <w:noProof/>
            </w:rPr>
            <w:t>53</w:t>
          </w:r>
          <w:r w:rsidRPr="008C612F">
            <w:rPr>
              <w:rFonts w:ascii="Times New Roman" w:hAnsi="Times New Roman"/>
              <w:noProof/>
            </w:rPr>
            <w:fldChar w:fldCharType="end"/>
          </w:r>
        </w:p>
        <w:p w14:paraId="2B8B9038" w14:textId="34716CCE" w:rsidR="002948DF" w:rsidRPr="008E5658" w:rsidRDefault="002948DF">
          <w:r w:rsidRPr="008C612F">
            <w:rPr>
              <w:bCs/>
              <w:noProof/>
            </w:rPr>
            <w:fldChar w:fldCharType="end"/>
          </w:r>
        </w:p>
      </w:sdtContent>
    </w:sdt>
    <w:p w14:paraId="23A50E49" w14:textId="460CD509" w:rsidR="00B90768" w:rsidRPr="002D138A" w:rsidRDefault="002948DF" w:rsidP="002D138A">
      <w:pPr>
        <w:pStyle w:val="Heading1"/>
        <w:spacing w:before="0"/>
        <w:rPr>
          <w:b w:val="0"/>
        </w:rPr>
      </w:pPr>
      <w:r w:rsidRPr="000C4208">
        <w:rPr>
          <w:b w:val="0"/>
        </w:rPr>
        <w:br w:type="column"/>
      </w:r>
      <w:bookmarkStart w:id="1" w:name="_Toc333988279"/>
      <w:bookmarkStart w:id="2" w:name="_Toc334125692"/>
      <w:r w:rsidR="00B90768" w:rsidRPr="002D138A">
        <w:rPr>
          <w:rFonts w:ascii="Times New Roman" w:hAnsi="Times New Roman"/>
          <w:color w:val="000000" w:themeColor="text1"/>
          <w:sz w:val="24"/>
        </w:rPr>
        <w:lastRenderedPageBreak/>
        <w:t>Forward</w:t>
      </w:r>
      <w:bookmarkEnd w:id="1"/>
      <w:bookmarkEnd w:id="2"/>
    </w:p>
    <w:p w14:paraId="5EC07AC5" w14:textId="77777777" w:rsidR="00B90768" w:rsidRDefault="00B90768"/>
    <w:p w14:paraId="4BA3F3BC" w14:textId="75AAF7A5" w:rsidR="00B90768" w:rsidRDefault="00B90768">
      <w:r>
        <w:t xml:space="preserve">The purpose of this </w:t>
      </w:r>
      <w:r w:rsidR="002948DF">
        <w:t>document</w:t>
      </w:r>
      <w:r>
        <w:t xml:space="preserve"> is to provide an overview of good practices of engagement in the Arctic</w:t>
      </w:r>
      <w:r w:rsidR="008372B6">
        <w:t xml:space="preserve"> </w:t>
      </w:r>
      <w:r w:rsidR="00D1170D">
        <w:t>as reviewed</w:t>
      </w:r>
      <w:r w:rsidR="002948DF">
        <w:t xml:space="preserve"> by the Arctic Council’s Meaningful Engagement of Indigenous Peoples and Communities in Marine Activities (“MEMA”) project. </w:t>
      </w:r>
      <w:r w:rsidR="000606D1">
        <w:t>This</w:t>
      </w:r>
      <w:r w:rsidR="00A05390">
        <w:t xml:space="preserve"> overview is intended to </w:t>
      </w:r>
      <w:r w:rsidR="00317B03">
        <w:t>support discussions at the</w:t>
      </w:r>
      <w:r w:rsidR="008372B6">
        <w:t xml:space="preserve"> PAME workshop about meaningful engagement</w:t>
      </w:r>
      <w:r w:rsidR="00E35726">
        <w:t xml:space="preserve"> </w:t>
      </w:r>
      <w:r w:rsidR="00A05390">
        <w:t xml:space="preserve">with Indigenous Peoples </w:t>
      </w:r>
      <w:r w:rsidR="00E35726">
        <w:t>in Portland</w:t>
      </w:r>
      <w:r w:rsidR="00317B03">
        <w:t>, Maine</w:t>
      </w:r>
      <w:r w:rsidR="00E35726">
        <w:t xml:space="preserve"> on September 17, 2016</w:t>
      </w:r>
      <w:r>
        <w:t xml:space="preserve">. </w:t>
      </w:r>
    </w:p>
    <w:p w14:paraId="1DA208C3" w14:textId="77777777" w:rsidR="00B90768" w:rsidRDefault="00B90768"/>
    <w:p w14:paraId="11955568" w14:textId="34B77BF9" w:rsidR="00B90768" w:rsidRDefault="00317B03">
      <w:r>
        <w:t>This</w:t>
      </w:r>
      <w:r w:rsidR="00A05390">
        <w:t xml:space="preserve"> </w:t>
      </w:r>
      <w:r w:rsidR="00D972FF">
        <w:t>document</w:t>
      </w:r>
      <w:r>
        <w:t xml:space="preserve"> </w:t>
      </w:r>
      <w:r w:rsidR="00D8359C">
        <w:t xml:space="preserve">will </w:t>
      </w:r>
      <w:r w:rsidR="00A05390">
        <w:t xml:space="preserve">also </w:t>
      </w:r>
      <w:r w:rsidR="00D8359C">
        <w:t xml:space="preserve">help to </w:t>
      </w:r>
      <w:r w:rsidR="0092721C">
        <w:t>form the basis</w:t>
      </w:r>
      <w:r w:rsidR="008372B6">
        <w:t xml:space="preserve"> of </w:t>
      </w:r>
      <w:r w:rsidR="0092721C">
        <w:t xml:space="preserve">Chapter 3 </w:t>
      </w:r>
      <w:r w:rsidR="00A05390">
        <w:t>of the</w:t>
      </w:r>
      <w:r w:rsidR="008372B6">
        <w:t xml:space="preserve"> </w:t>
      </w:r>
      <w:r w:rsidR="00A05390">
        <w:t xml:space="preserve">final </w:t>
      </w:r>
      <w:r w:rsidR="002948DF">
        <w:t>MEMA</w:t>
      </w:r>
      <w:r w:rsidR="008372B6">
        <w:t xml:space="preserve"> project </w:t>
      </w:r>
      <w:r w:rsidR="00AF60E9">
        <w:t>re</w:t>
      </w:r>
      <w:r w:rsidR="00E748C7">
        <w:t>port. T</w:t>
      </w:r>
      <w:r w:rsidR="00AF60E9">
        <w:t>h</w:t>
      </w:r>
      <w:r w:rsidR="00A05390">
        <w:t>e final</w:t>
      </w:r>
      <w:r w:rsidR="00AF60E9">
        <w:t xml:space="preserve"> report </w:t>
      </w:r>
      <w:r w:rsidR="00E748C7">
        <w:t>will incorporate discussions and outcomes that may arise from the</w:t>
      </w:r>
      <w:r w:rsidR="00F920C0">
        <w:t xml:space="preserve"> workshop</w:t>
      </w:r>
      <w:r w:rsidR="00D43BBB">
        <w:t>. It is also</w:t>
      </w:r>
      <w:r w:rsidR="008372B6">
        <w:t xml:space="preserve"> </w:t>
      </w:r>
      <w:r w:rsidR="00B90768">
        <w:t>intended to assist the Arctic Council in assessing how its own recommendations and practices compare to current standards</w:t>
      </w:r>
      <w:proofErr w:type="gramStart"/>
      <w:r w:rsidR="00D43BBB">
        <w:t>,</w:t>
      </w:r>
      <w:r w:rsidR="00B90768">
        <w:t xml:space="preserve">  in</w:t>
      </w:r>
      <w:proofErr w:type="gramEnd"/>
      <w:r w:rsidR="00B90768">
        <w:t xml:space="preserve"> identifying</w:t>
      </w:r>
      <w:r w:rsidR="00E35726">
        <w:t xml:space="preserve"> </w:t>
      </w:r>
      <w:r w:rsidR="008372B6">
        <w:t>future areas of research</w:t>
      </w:r>
      <w:r w:rsidR="00362E75">
        <w:t>,</w:t>
      </w:r>
      <w:r w:rsidR="008372B6">
        <w:t xml:space="preserve"> and the potential need for additional recommendations regarding engagement with Indigenous Peoples</w:t>
      </w:r>
      <w:r w:rsidR="00E35726">
        <w:t>.</w:t>
      </w:r>
      <w:r w:rsidR="008372B6">
        <w:t xml:space="preserve"> </w:t>
      </w:r>
    </w:p>
    <w:p w14:paraId="31532BB5" w14:textId="77777777" w:rsidR="00EA0C84" w:rsidRDefault="00EA0C84"/>
    <w:p w14:paraId="36BEDDBA" w14:textId="77777777" w:rsidR="00AC1ECC" w:rsidRDefault="00AC1ECC"/>
    <w:p w14:paraId="3024D52F" w14:textId="5A55AB9A" w:rsidR="00EA0C84" w:rsidRDefault="00EA0C84">
      <w:pPr>
        <w:rPr>
          <w:i/>
        </w:rPr>
      </w:pPr>
    </w:p>
    <w:p w14:paraId="48ABE2B6" w14:textId="57C483F4" w:rsidR="00086C94" w:rsidRPr="000C3239" w:rsidRDefault="00AC1ECC" w:rsidP="00495C92">
      <w:pPr>
        <w:rPr>
          <w:b/>
        </w:rPr>
      </w:pPr>
      <w:r>
        <w:rPr>
          <w:i/>
        </w:rPr>
        <w:br w:type="column"/>
      </w:r>
      <w:r w:rsidR="00EA665E" w:rsidRPr="00925B59">
        <w:rPr>
          <w:i/>
        </w:rPr>
        <w:lastRenderedPageBreak/>
        <w:t>The two-row wampum, given to early European settlers by the Iroquois, provides a model of co-management that some might wish to follow. This device embodies the principles of mutual respect, recognition, and partnership, and is based on a nation-to-nation relationship that acknowledges the autonomy, authority, and jurisdiction of each nation. The two rows symbolize the courses on the river of life for canoes of each great nation to navigate down, each with its own laws, customs and traditions, neither tryi</w:t>
      </w:r>
      <w:r w:rsidR="00B72ECC" w:rsidRPr="00925B59">
        <w:rPr>
          <w:i/>
        </w:rPr>
        <w:t>ng to steer the others’ vessel -</w:t>
      </w:r>
      <w:r w:rsidR="005355EF" w:rsidRPr="00925B59">
        <w:rPr>
          <w:i/>
        </w:rPr>
        <w:t xml:space="preserve"> </w:t>
      </w:r>
      <w:r w:rsidR="001A2036" w:rsidRPr="00925B59">
        <w:rPr>
          <w:i/>
        </w:rPr>
        <w:t>Marc Stevenson.</w:t>
      </w:r>
    </w:p>
    <w:p w14:paraId="2157EA1F" w14:textId="727812A3" w:rsidR="00086C94" w:rsidRPr="00B571C4" w:rsidRDefault="00086C94" w:rsidP="00C47393">
      <w:pPr>
        <w:pStyle w:val="Heading1"/>
        <w:numPr>
          <w:ilvl w:val="0"/>
          <w:numId w:val="18"/>
        </w:numPr>
        <w:rPr>
          <w:rFonts w:ascii="Times New Roman" w:hAnsi="Times New Roman" w:cs="Times New Roman"/>
          <w:color w:val="auto"/>
          <w:sz w:val="24"/>
          <w:szCs w:val="24"/>
        </w:rPr>
      </w:pPr>
      <w:bookmarkStart w:id="3" w:name="_Toc334125693"/>
      <w:r w:rsidRPr="00B571C4">
        <w:rPr>
          <w:rFonts w:ascii="Times New Roman" w:hAnsi="Times New Roman" w:cs="Times New Roman"/>
          <w:color w:val="auto"/>
          <w:sz w:val="24"/>
          <w:szCs w:val="24"/>
        </w:rPr>
        <w:t xml:space="preserve">What is </w:t>
      </w:r>
      <w:r w:rsidR="00C95A84" w:rsidRPr="00B571C4">
        <w:rPr>
          <w:rFonts w:ascii="Times New Roman" w:hAnsi="Times New Roman" w:cs="Times New Roman"/>
          <w:color w:val="auto"/>
          <w:sz w:val="24"/>
          <w:szCs w:val="24"/>
        </w:rPr>
        <w:t>Indigenous</w:t>
      </w:r>
      <w:r w:rsidRPr="00B571C4">
        <w:rPr>
          <w:rFonts w:ascii="Times New Roman" w:hAnsi="Times New Roman" w:cs="Times New Roman"/>
          <w:color w:val="auto"/>
          <w:sz w:val="24"/>
          <w:szCs w:val="24"/>
        </w:rPr>
        <w:t xml:space="preserve"> engagement?</w:t>
      </w:r>
      <w:bookmarkEnd w:id="3"/>
    </w:p>
    <w:p w14:paraId="44BD5A70" w14:textId="77777777" w:rsidR="00086C94" w:rsidRPr="008A4C06" w:rsidRDefault="00086C94" w:rsidP="00086C94">
      <w:pPr>
        <w:pStyle w:val="ListParagraph"/>
      </w:pPr>
    </w:p>
    <w:p w14:paraId="12857E76" w14:textId="249A7238" w:rsidR="00E01D3B" w:rsidRDefault="00A40756" w:rsidP="00086C94">
      <w:pPr>
        <w:widowControl w:val="0"/>
        <w:autoSpaceDE w:val="0"/>
        <w:autoSpaceDN w:val="0"/>
        <w:adjustRightInd w:val="0"/>
        <w:spacing w:after="240"/>
      </w:pPr>
      <w:r>
        <w:rPr>
          <w:color w:val="343434"/>
        </w:rPr>
        <w:t xml:space="preserve">In the Arctic, </w:t>
      </w:r>
      <w:r w:rsidR="00C95A84">
        <w:rPr>
          <w:color w:val="343434"/>
        </w:rPr>
        <w:t>Indigenous</w:t>
      </w:r>
      <w:r>
        <w:rPr>
          <w:color w:val="343434"/>
        </w:rPr>
        <w:t xml:space="preserve"> P</w:t>
      </w:r>
      <w:r w:rsidR="00E01D3B" w:rsidRPr="00E01D3B">
        <w:rPr>
          <w:color w:val="343434"/>
        </w:rPr>
        <w:t xml:space="preserve">eoples have a specific connection to land and natural resources, which are an important part of their culture and traditional livelihoods. </w:t>
      </w:r>
      <w:r w:rsidR="007145DD">
        <w:t>Many</w:t>
      </w:r>
      <w:r w:rsidR="00E01D3B" w:rsidRPr="00E01D3B">
        <w:t xml:space="preserve"> cul</w:t>
      </w:r>
      <w:r w:rsidR="00972BA4">
        <w:t>tural, historical and economic backgrounds exist</w:t>
      </w:r>
      <w:r w:rsidR="00E01D3B" w:rsidRPr="00E01D3B">
        <w:t xml:space="preserve"> among the over 40 different ethnic groups</w:t>
      </w:r>
      <w:r w:rsidR="00FF4521">
        <w:t xml:space="preserve"> living </w:t>
      </w:r>
      <w:r w:rsidR="00A95D9F" w:rsidRPr="00A95D9F">
        <w:t xml:space="preserve">across the coastal zones of the eight Arctic States represented in the Arctic Council. Arctic </w:t>
      </w:r>
      <w:r w:rsidR="00D25324">
        <w:t xml:space="preserve">Indigenous groups </w:t>
      </w:r>
      <w:r w:rsidR="00A95D9F" w:rsidRPr="00A95D9F">
        <w:t xml:space="preserve">are represented by the Permanent Participants of the Arctic Council and include the Inuit, Aleut, Saami, </w:t>
      </w:r>
      <w:proofErr w:type="spellStart"/>
      <w:r w:rsidR="00A95D9F" w:rsidRPr="00A95D9F">
        <w:t>Gwich’in</w:t>
      </w:r>
      <w:proofErr w:type="spellEnd"/>
      <w:r w:rsidR="00A95D9F" w:rsidRPr="00A95D9F">
        <w:t>, Athabaskan and over 56 Indigenous groups in Russia, such as the Nenets,</w:t>
      </w:r>
      <w:r w:rsidR="00A95D9F">
        <w:t xml:space="preserve"> </w:t>
      </w:r>
      <w:proofErr w:type="spellStart"/>
      <w:r w:rsidR="00E01D3B" w:rsidRPr="00E01D3B">
        <w:t>Yup’ik</w:t>
      </w:r>
      <w:proofErr w:type="spellEnd"/>
      <w:r w:rsidR="00E01D3B" w:rsidRPr="00E01D3B">
        <w:t xml:space="preserve">, Chukchi, Even, </w:t>
      </w:r>
      <w:r w:rsidR="00A95D9F">
        <w:t xml:space="preserve">and </w:t>
      </w:r>
      <w:r w:rsidR="006B0034">
        <w:t>Evenk</w:t>
      </w:r>
      <w:r w:rsidR="00E01D3B" w:rsidRPr="00E01D3B">
        <w:t xml:space="preserve">. Although the </w:t>
      </w:r>
      <w:r w:rsidR="00E020D1">
        <w:t>term “</w:t>
      </w:r>
      <w:r w:rsidR="00C95A84">
        <w:t>Indigenous</w:t>
      </w:r>
      <w:r w:rsidR="00E01D3B" w:rsidRPr="00E01D3B">
        <w:t>” is not a common term for all Arctic countries, this report will use the terms “</w:t>
      </w:r>
      <w:r w:rsidR="00C95A84">
        <w:t>Indigenous</w:t>
      </w:r>
      <w:r w:rsidR="00E01D3B" w:rsidRPr="00E01D3B">
        <w:t xml:space="preserve"> Peoples</w:t>
      </w:r>
      <w:r w:rsidR="00780075">
        <w:t>,</w:t>
      </w:r>
      <w:r w:rsidR="00E01D3B" w:rsidRPr="00E01D3B">
        <w:t xml:space="preserve">” </w:t>
      </w:r>
      <w:r w:rsidR="00527DEB">
        <w:t xml:space="preserve"> </w:t>
      </w:r>
      <w:r w:rsidR="00E01D3B" w:rsidRPr="00E01D3B">
        <w:t>“</w:t>
      </w:r>
      <w:r w:rsidR="00C95A84">
        <w:t>Indigenous</w:t>
      </w:r>
      <w:r w:rsidR="00E01D3B" w:rsidRPr="00E01D3B">
        <w:t xml:space="preserve"> groups” </w:t>
      </w:r>
      <w:r w:rsidR="00780075">
        <w:t xml:space="preserve">and “Indigenous community” </w:t>
      </w:r>
      <w:r w:rsidR="00E01D3B" w:rsidRPr="00E01D3B">
        <w:t>interchangeably and without regard to their particular legal status.</w:t>
      </w:r>
      <w:r w:rsidR="00CA594C" w:rsidRPr="008A4C06">
        <w:rPr>
          <w:rStyle w:val="FootnoteReference"/>
        </w:rPr>
        <w:footnoteReference w:id="2"/>
      </w:r>
    </w:p>
    <w:p w14:paraId="68DAEEB4" w14:textId="316C5983" w:rsidR="00DB10FB" w:rsidRDefault="00AF1D99" w:rsidP="003E6787">
      <w:pPr>
        <w:pStyle w:val="CommentText"/>
      </w:pPr>
      <w:r>
        <w:rPr>
          <w:noProof/>
          <w:lang w:val="en-US"/>
        </w:rPr>
        <w:drawing>
          <wp:anchor distT="0" distB="0" distL="114300" distR="114300" simplePos="0" relativeHeight="251671552" behindDoc="0" locked="0" layoutInCell="1" allowOverlap="1" wp14:anchorId="3A57599F" wp14:editId="56BA5E58">
            <wp:simplePos x="0" y="0"/>
            <wp:positionH relativeFrom="margin">
              <wp:posOffset>3657600</wp:posOffset>
            </wp:positionH>
            <wp:positionV relativeFrom="margin">
              <wp:posOffset>4000500</wp:posOffset>
            </wp:positionV>
            <wp:extent cx="2322830" cy="2400300"/>
            <wp:effectExtent l="38100" t="0" r="39370" b="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r w:rsidR="00A40756" w:rsidRPr="008A4C06">
        <w:t>“</w:t>
      </w:r>
      <w:r w:rsidR="00C95A84">
        <w:t>Indigenous</w:t>
      </w:r>
      <w:r w:rsidR="00EE0683">
        <w:t xml:space="preserve"> engagement” refers to</w:t>
      </w:r>
      <w:r w:rsidR="00A40756" w:rsidRPr="008A4C06">
        <w:t xml:space="preserve"> a </w:t>
      </w:r>
      <w:r w:rsidR="00A40756">
        <w:t xml:space="preserve">range of relationships </w:t>
      </w:r>
      <w:r w:rsidR="00161D0C">
        <w:t xml:space="preserve">with </w:t>
      </w:r>
      <w:r w:rsidR="00C95A84">
        <w:t>Indigenous</w:t>
      </w:r>
      <w:r w:rsidR="00A40756">
        <w:t xml:space="preserve"> P</w:t>
      </w:r>
      <w:r w:rsidR="00A40756" w:rsidRPr="008A4C06">
        <w:t>eoples</w:t>
      </w:r>
      <w:r w:rsidR="00161D0C">
        <w:t xml:space="preserve">. </w:t>
      </w:r>
      <w:r w:rsidR="00C51D21">
        <w:t>Engagement may apply to research activities</w:t>
      </w:r>
      <w:r w:rsidR="008C3848">
        <w:t xml:space="preserve">, </w:t>
      </w:r>
      <w:r w:rsidR="00F5285D">
        <w:t xml:space="preserve">government </w:t>
      </w:r>
      <w:r w:rsidR="00C51D21">
        <w:t>decision ma</w:t>
      </w:r>
      <w:r w:rsidR="008C3848">
        <w:t>king,</w:t>
      </w:r>
      <w:r w:rsidR="00F5285D">
        <w:t xml:space="preserve"> economic activities, </w:t>
      </w:r>
      <w:r w:rsidR="008C3848">
        <w:t>or</w:t>
      </w:r>
      <w:r w:rsidR="00C51D21">
        <w:t xml:space="preserve"> any other interaction that will bring peo</w:t>
      </w:r>
      <w:r w:rsidR="00F5285D">
        <w:t>p</w:t>
      </w:r>
      <w:r w:rsidR="00C72CE2">
        <w:t>le into an Indigenous community</w:t>
      </w:r>
      <w:r w:rsidR="00C51D21">
        <w:t xml:space="preserve">. Thus, meaningful engagement is about a partnership between groups. </w:t>
      </w:r>
      <w:r w:rsidR="009A22FB">
        <w:t xml:space="preserve">This paper will focus on the </w:t>
      </w:r>
      <w:r w:rsidR="006E7DC6">
        <w:t>relationships that develop</w:t>
      </w:r>
      <w:r w:rsidR="009A22FB">
        <w:t xml:space="preserve"> between Indigenous Peoples and </w:t>
      </w:r>
      <w:r w:rsidR="00A40756" w:rsidRPr="008A4C06">
        <w:t>governments</w:t>
      </w:r>
      <w:r w:rsidR="00A40756">
        <w:t xml:space="preserve">, </w:t>
      </w:r>
      <w:r w:rsidR="000B4B74">
        <w:t xml:space="preserve">researchers, </w:t>
      </w:r>
      <w:r w:rsidR="008C3848">
        <w:t>non-governmental organizations (</w:t>
      </w:r>
      <w:r w:rsidR="00A40756">
        <w:t>NGOs</w:t>
      </w:r>
      <w:r w:rsidR="008C3848">
        <w:t>)</w:t>
      </w:r>
      <w:r w:rsidR="006E7DC6">
        <w:t>, and</w:t>
      </w:r>
      <w:r w:rsidR="00A40756" w:rsidRPr="008A4C06">
        <w:t xml:space="preserve"> </w:t>
      </w:r>
      <w:r w:rsidR="003928AA">
        <w:t>companies</w:t>
      </w:r>
      <w:r w:rsidR="00A40756" w:rsidRPr="008A4C06">
        <w:t xml:space="preserve"> </w:t>
      </w:r>
      <w:r w:rsidR="000B4B74">
        <w:t xml:space="preserve">conducting activities in the Arctic. </w:t>
      </w:r>
    </w:p>
    <w:p w14:paraId="14FC4765" w14:textId="677A12C8" w:rsidR="00DB10FB" w:rsidRDefault="00DB10FB" w:rsidP="003E6787">
      <w:pPr>
        <w:pStyle w:val="CommentText"/>
      </w:pPr>
    </w:p>
    <w:p w14:paraId="429A2DB9" w14:textId="222B2722" w:rsidR="00721C78" w:rsidRPr="00602365" w:rsidRDefault="00AF1D99" w:rsidP="00602365">
      <w:pPr>
        <w:widowControl w:val="0"/>
        <w:autoSpaceDE w:val="0"/>
        <w:autoSpaceDN w:val="0"/>
        <w:adjustRightInd w:val="0"/>
        <w:spacing w:after="240"/>
        <w:rPr>
          <w:rFonts w:ascii="Times" w:hAnsi="Times" w:cs="Times"/>
          <w:lang w:val="en-US"/>
        </w:rPr>
      </w:pPr>
      <w:r>
        <w:rPr>
          <w:noProof/>
          <w:lang w:val="en-US"/>
        </w:rPr>
        <mc:AlternateContent>
          <mc:Choice Requires="wps">
            <w:drawing>
              <wp:anchor distT="0" distB="0" distL="114300" distR="114300" simplePos="0" relativeHeight="251673600" behindDoc="0" locked="0" layoutInCell="1" allowOverlap="1" wp14:anchorId="1F739597" wp14:editId="480D7648">
                <wp:simplePos x="0" y="0"/>
                <wp:positionH relativeFrom="column">
                  <wp:posOffset>3543300</wp:posOffset>
                </wp:positionH>
                <wp:positionV relativeFrom="paragraph">
                  <wp:posOffset>1132205</wp:posOffset>
                </wp:positionV>
                <wp:extent cx="2743200" cy="3429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27432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0115411" w14:textId="110E09E1" w:rsidR="00D43BBB" w:rsidRPr="003A1649" w:rsidRDefault="00D43BBB" w:rsidP="00DB10FB">
                            <w:pPr>
                              <w:rPr>
                                <w:sz w:val="18"/>
                                <w:szCs w:val="18"/>
                              </w:rPr>
                            </w:pPr>
                            <w:r>
                              <w:rPr>
                                <w:sz w:val="18"/>
                                <w:szCs w:val="18"/>
                              </w:rPr>
                              <w:t xml:space="preserve">  </w:t>
                            </w:r>
                            <w:r w:rsidRPr="003A1649">
                              <w:rPr>
                                <w:sz w:val="18"/>
                                <w:szCs w:val="18"/>
                              </w:rPr>
                              <w:t>Key Elements of Engagement, Elizabeth Edmondson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26" type="#_x0000_t202" style="position:absolute;margin-left:279pt;margin-top:89.15pt;width:3in;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" filled="f" stroked="f">
                <v:textbox>
                  <w:txbxContent>
                    <w:p w14:paraId="60115411" w14:textId="110E09E1" w:rsidR="00D43BBB" w:rsidRPr="003A1649" w:rsidRDefault="00D43BBB" w:rsidP="00DB10FB">
                      <w:pPr>
                        <w:rPr>
                          <w:sz w:val="18"/>
                          <w:szCs w:val="18"/>
                        </w:rPr>
                      </w:pPr>
                      <w:r>
                        <w:rPr>
                          <w:sz w:val="18"/>
                          <w:szCs w:val="18"/>
                        </w:rPr>
                        <w:t xml:space="preserve">  </w:t>
                      </w:r>
                      <w:r w:rsidRPr="003A1649">
                        <w:rPr>
                          <w:sz w:val="18"/>
                          <w:szCs w:val="18"/>
                        </w:rPr>
                        <w:t>Key Elements of Engagement, Elizabeth Edmondson</w:t>
                      </w:r>
                    </w:p>
                  </w:txbxContent>
                </v:textbox>
                <w10:wrap type="square"/>
              </v:shape>
            </w:pict>
          </mc:Fallback>
        </mc:AlternateContent>
      </w:r>
      <w:r w:rsidR="00C11BA0">
        <w:t>This paper</w:t>
      </w:r>
      <w:r w:rsidR="007F074A">
        <w:t xml:space="preserve"> reviews various good practices for meaningful engagement. Underlying all of the practices are </w:t>
      </w:r>
      <w:r w:rsidR="0086597C">
        <w:t>certain qualities</w:t>
      </w:r>
      <w:r w:rsidR="00A13F72">
        <w:t xml:space="preserve"> of the </w:t>
      </w:r>
      <w:r w:rsidR="008F7AA1">
        <w:t xml:space="preserve">nature of communication and </w:t>
      </w:r>
      <w:r w:rsidR="00A13F72">
        <w:t>interaction that</w:t>
      </w:r>
      <w:r w:rsidR="007F074A">
        <w:t xml:space="preserve"> form the basis of </w:t>
      </w:r>
      <w:r w:rsidR="004F0825">
        <w:t>meaningful relationships between Indigenous Peoples and others.</w:t>
      </w:r>
      <w:bookmarkStart w:id="4" w:name="_Ref334080323"/>
      <w:r w:rsidR="008F7AA1">
        <w:rPr>
          <w:rStyle w:val="FootnoteReference"/>
        </w:rPr>
        <w:footnoteReference w:id="3"/>
      </w:r>
      <w:bookmarkEnd w:id="4"/>
      <w:r w:rsidR="004F0825">
        <w:t xml:space="preserve"> </w:t>
      </w:r>
      <w:r w:rsidR="001E7764">
        <w:t xml:space="preserve">These qualities include cultural appropriateness, </w:t>
      </w:r>
      <w:r w:rsidR="008114F5">
        <w:t>trust</w:t>
      </w:r>
      <w:r w:rsidR="001E7764">
        <w:t>,</w:t>
      </w:r>
      <w:r w:rsidR="008114F5">
        <w:t xml:space="preserve"> and respect.</w:t>
      </w:r>
      <w:r w:rsidR="00E63808">
        <w:rPr>
          <w:rStyle w:val="FootnoteReference"/>
          <w:rFonts w:ascii="Times" w:hAnsi="Times" w:cs="Times"/>
          <w:sz w:val="26"/>
          <w:szCs w:val="26"/>
          <w:lang w:val="en-US"/>
        </w:rPr>
        <w:footnoteReference w:id="4"/>
      </w:r>
      <w:r w:rsidR="008114F5">
        <w:rPr>
          <w:rFonts w:ascii="Times" w:hAnsi="Times" w:cs="Times"/>
          <w:sz w:val="26"/>
          <w:szCs w:val="26"/>
          <w:lang w:val="en-US"/>
        </w:rPr>
        <w:t xml:space="preserve"> </w:t>
      </w:r>
      <w:r w:rsidR="001E7764">
        <w:rPr>
          <w:rFonts w:ascii="Times" w:hAnsi="Times" w:cs="Times"/>
          <w:lang w:val="en-US"/>
        </w:rPr>
        <w:t>They improve</w:t>
      </w:r>
      <w:r w:rsidR="009A7354">
        <w:rPr>
          <w:rFonts w:ascii="Times" w:hAnsi="Times" w:cs="Times"/>
          <w:lang w:val="en-US"/>
        </w:rPr>
        <w:t xml:space="preserve"> participation</w:t>
      </w:r>
      <w:r w:rsidR="001E7764">
        <w:rPr>
          <w:rFonts w:ascii="Times" w:hAnsi="Times" w:cs="Times"/>
          <w:lang w:val="en-US"/>
        </w:rPr>
        <w:t xml:space="preserve">, collaboration, </w:t>
      </w:r>
      <w:r w:rsidR="001E7764">
        <w:rPr>
          <w:rFonts w:ascii="Times" w:hAnsi="Times" w:cs="Times"/>
          <w:lang w:val="en-US"/>
        </w:rPr>
        <w:lastRenderedPageBreak/>
        <w:t>information sharing,</w:t>
      </w:r>
      <w:r w:rsidR="009A7354">
        <w:rPr>
          <w:rFonts w:ascii="Times" w:hAnsi="Times" w:cs="Times"/>
          <w:lang w:val="en-US"/>
        </w:rPr>
        <w:t xml:space="preserve"> and involvement.</w:t>
      </w:r>
      <w:r w:rsidR="002420B7">
        <w:rPr>
          <w:rStyle w:val="FootnoteReference"/>
          <w:rFonts w:ascii="Times" w:hAnsi="Times" w:cs="Times"/>
          <w:lang w:val="en-US"/>
        </w:rPr>
        <w:footnoteReference w:id="5"/>
      </w:r>
      <w:r w:rsidR="00E3265C">
        <w:rPr>
          <w:rFonts w:ascii="Times" w:hAnsi="Times" w:cs="Times"/>
          <w:lang w:val="en-US"/>
        </w:rPr>
        <w:t xml:space="preserve"> Logistics (including when and where meetings take place) and funding </w:t>
      </w:r>
      <w:r w:rsidR="001E7764">
        <w:rPr>
          <w:rFonts w:ascii="Times" w:hAnsi="Times" w:cs="Times"/>
          <w:lang w:val="en-US"/>
        </w:rPr>
        <w:t>(</w:t>
      </w:r>
      <w:r w:rsidR="00E3265C">
        <w:rPr>
          <w:rFonts w:ascii="Times" w:hAnsi="Times" w:cs="Times"/>
          <w:lang w:val="en-US"/>
        </w:rPr>
        <w:t>to support participation and involvement</w:t>
      </w:r>
      <w:r w:rsidR="001E7764">
        <w:rPr>
          <w:rFonts w:ascii="Times" w:hAnsi="Times" w:cs="Times"/>
          <w:lang w:val="en-US"/>
        </w:rPr>
        <w:t>)</w:t>
      </w:r>
      <w:r w:rsidR="00E3265C">
        <w:rPr>
          <w:rFonts w:ascii="Times" w:hAnsi="Times" w:cs="Times"/>
          <w:lang w:val="en-US"/>
        </w:rPr>
        <w:t xml:space="preserve"> are also key factors for successful engagement.</w:t>
      </w:r>
      <w:r w:rsidR="00E3265C">
        <w:rPr>
          <w:rStyle w:val="FootnoteReference"/>
          <w:rFonts w:ascii="Times" w:hAnsi="Times" w:cs="Times"/>
          <w:lang w:val="en-US"/>
        </w:rPr>
        <w:footnoteReference w:id="6"/>
      </w:r>
      <w:r w:rsidR="00602365">
        <w:rPr>
          <w:rFonts w:ascii="Times" w:hAnsi="Times" w:cs="Times"/>
          <w:lang w:val="en-US"/>
        </w:rPr>
        <w:t xml:space="preserve"> </w:t>
      </w:r>
      <w:r w:rsidR="009765BE" w:rsidRPr="009765BE">
        <w:t xml:space="preserve">By developing engagement approaches that focus on these </w:t>
      </w:r>
      <w:r w:rsidR="00602365">
        <w:t>essential qualities</w:t>
      </w:r>
      <w:r w:rsidR="009765BE" w:rsidRPr="009765BE">
        <w:t>, In</w:t>
      </w:r>
      <w:r w:rsidR="00027919">
        <w:t>digenous P</w:t>
      </w:r>
      <w:r w:rsidR="009765BE" w:rsidRPr="009765BE">
        <w:t>eople</w:t>
      </w:r>
      <w:r w:rsidR="00027919">
        <w:t>s</w:t>
      </w:r>
      <w:r w:rsidR="009765BE" w:rsidRPr="009765BE">
        <w:t xml:space="preserve"> and other parties will be more likely to engage and </w:t>
      </w:r>
      <w:r w:rsidR="00AC6BD6">
        <w:t xml:space="preserve">to </w:t>
      </w:r>
      <w:r w:rsidR="009765BE" w:rsidRPr="009765BE">
        <w:t>perceive the engage</w:t>
      </w:r>
      <w:r w:rsidR="00027919">
        <w:t>ment process</w:t>
      </w:r>
      <w:r w:rsidR="009765BE" w:rsidRPr="009765BE">
        <w:t xml:space="preserve"> as meaningful.</w:t>
      </w:r>
    </w:p>
    <w:p w14:paraId="58A4A43F" w14:textId="6C8915EC" w:rsidR="006A7756" w:rsidRPr="00721C78" w:rsidRDefault="00D8359C" w:rsidP="003E6787">
      <w:pPr>
        <w:pStyle w:val="CommentText"/>
      </w:pPr>
      <w:r>
        <w:t>One</w:t>
      </w:r>
      <w:r w:rsidR="00086C94" w:rsidRPr="008A4C06">
        <w:t xml:space="preserve"> aspect of engagement is</w:t>
      </w:r>
      <w:r w:rsidR="009971CE">
        <w:t xml:space="preserve"> formal</w:t>
      </w:r>
      <w:r w:rsidR="00086C94" w:rsidRPr="008A4C06">
        <w:t xml:space="preserve"> consultation</w:t>
      </w:r>
      <w:r w:rsidR="00CA594C">
        <w:t xml:space="preserve">, which is </w:t>
      </w:r>
      <w:r w:rsidR="006A7756">
        <w:t xml:space="preserve">a process put forth by governments as a way to engage with Indigenous Peoples. </w:t>
      </w:r>
      <w:r w:rsidR="006A7756" w:rsidRPr="008A4C06">
        <w:t>As the government of Canada explains,</w:t>
      </w:r>
      <w:r w:rsidR="006A7756">
        <w:t xml:space="preserve"> “</w:t>
      </w:r>
      <w:r w:rsidR="006A7756" w:rsidRPr="00086C94">
        <w:rPr>
          <w:position w:val="2"/>
          <w:lang w:val="en-US"/>
        </w:rPr>
        <w:t>the</w:t>
      </w:r>
      <w:r w:rsidR="006A7756" w:rsidRPr="00086C94">
        <w:rPr>
          <w:color w:val="FFFFFF"/>
          <w:position w:val="-3"/>
          <w:lang w:val="en-US"/>
        </w:rPr>
        <w:t xml:space="preserve"> </w:t>
      </w:r>
      <w:r w:rsidR="006A7756" w:rsidRPr="00086C94">
        <w:rPr>
          <w:position w:val="2"/>
          <w:lang w:val="en-US"/>
        </w:rPr>
        <w:t>objective</w:t>
      </w:r>
      <w:r w:rsidR="006A7756" w:rsidRPr="00086C94">
        <w:rPr>
          <w:color w:val="FFFFFF"/>
          <w:position w:val="-3"/>
          <w:lang w:val="en-US"/>
        </w:rPr>
        <w:t xml:space="preserve"> </w:t>
      </w:r>
      <w:r w:rsidR="006A7756" w:rsidRPr="00086C94">
        <w:rPr>
          <w:position w:val="2"/>
          <w:lang w:val="en-US"/>
        </w:rPr>
        <w:t>of</w:t>
      </w:r>
      <w:r w:rsidR="006A7756" w:rsidRPr="00086C94">
        <w:rPr>
          <w:color w:val="FFFFFF"/>
          <w:position w:val="-3"/>
          <w:lang w:val="en-US"/>
        </w:rPr>
        <w:t xml:space="preserve"> </w:t>
      </w:r>
      <w:r w:rsidR="006A7756" w:rsidRPr="00086C94">
        <w:rPr>
          <w:position w:val="2"/>
          <w:lang w:val="en-US"/>
        </w:rPr>
        <w:t>consultation</w:t>
      </w:r>
      <w:r w:rsidR="006A7756" w:rsidRPr="00086C94">
        <w:rPr>
          <w:color w:val="FFFFFF"/>
          <w:position w:val="-3"/>
          <w:lang w:val="en-US"/>
        </w:rPr>
        <w:t xml:space="preserve"> </w:t>
      </w:r>
      <w:r w:rsidR="006A7756" w:rsidRPr="00086C94">
        <w:rPr>
          <w:position w:val="2"/>
          <w:lang w:val="en-US"/>
        </w:rPr>
        <w:t>is,</w:t>
      </w:r>
      <w:r w:rsidR="006A7756" w:rsidRPr="00086C94">
        <w:rPr>
          <w:color w:val="FFFFFF"/>
          <w:position w:val="-3"/>
          <w:lang w:val="en-US"/>
        </w:rPr>
        <w:t xml:space="preserve"> </w:t>
      </w:r>
      <w:r w:rsidR="006A7756" w:rsidRPr="00086C94">
        <w:rPr>
          <w:position w:val="2"/>
          <w:lang w:val="en-US"/>
        </w:rPr>
        <w:t>first</w:t>
      </w:r>
      <w:r w:rsidR="006A7756" w:rsidRPr="00086C94">
        <w:rPr>
          <w:color w:val="FFFFFF"/>
          <w:position w:val="-3"/>
          <w:lang w:val="en-US"/>
        </w:rPr>
        <w:t xml:space="preserve"> </w:t>
      </w:r>
      <w:r w:rsidR="006A7756" w:rsidRPr="00086C94">
        <w:rPr>
          <w:position w:val="2"/>
          <w:lang w:val="en-US"/>
        </w:rPr>
        <w:t>and</w:t>
      </w:r>
      <w:r w:rsidR="006A7756" w:rsidRPr="00086C94">
        <w:rPr>
          <w:color w:val="FFFFFF"/>
          <w:position w:val="-3"/>
          <w:lang w:val="en-US"/>
        </w:rPr>
        <w:t xml:space="preserve"> </w:t>
      </w:r>
      <w:r w:rsidR="006A7756" w:rsidRPr="00086C94">
        <w:rPr>
          <w:position w:val="2"/>
          <w:lang w:val="en-US"/>
        </w:rPr>
        <w:t>foremost,</w:t>
      </w:r>
      <w:r w:rsidR="006A7756" w:rsidRPr="00086C94">
        <w:rPr>
          <w:color w:val="FFFFFF"/>
          <w:position w:val="-3"/>
          <w:lang w:val="en-US"/>
        </w:rPr>
        <w:t xml:space="preserve"> </w:t>
      </w:r>
      <w:r w:rsidR="006A7756" w:rsidRPr="00086C94">
        <w:rPr>
          <w:position w:val="2"/>
          <w:lang w:val="en-US"/>
        </w:rPr>
        <w:t>to</w:t>
      </w:r>
      <w:r w:rsidR="006A7756" w:rsidRPr="00086C94">
        <w:rPr>
          <w:color w:val="FFFFFF"/>
          <w:position w:val="-3"/>
          <w:lang w:val="en-US"/>
        </w:rPr>
        <w:t xml:space="preserve"> </w:t>
      </w:r>
      <w:r w:rsidR="006A7756" w:rsidRPr="00086C94">
        <w:rPr>
          <w:position w:val="2"/>
          <w:lang w:val="en-US"/>
        </w:rPr>
        <w:t>protect the</w:t>
      </w:r>
      <w:r w:rsidR="006A7756" w:rsidRPr="00086C94">
        <w:rPr>
          <w:color w:val="FFFFFF"/>
          <w:lang w:val="en-US"/>
        </w:rPr>
        <w:t xml:space="preserve"> </w:t>
      </w:r>
      <w:r w:rsidR="006A7756" w:rsidRPr="00086C94">
        <w:rPr>
          <w:position w:val="2"/>
          <w:lang w:val="en-US"/>
        </w:rPr>
        <w:t>land,</w:t>
      </w:r>
      <w:r w:rsidR="006A7756" w:rsidRPr="00086C94">
        <w:rPr>
          <w:color w:val="FFFFFF"/>
          <w:lang w:val="en-US"/>
        </w:rPr>
        <w:t xml:space="preserve"> </w:t>
      </w:r>
      <w:r w:rsidR="006A7756" w:rsidRPr="00086C94">
        <w:rPr>
          <w:position w:val="2"/>
          <w:lang w:val="en-US"/>
        </w:rPr>
        <w:t>the</w:t>
      </w:r>
      <w:r w:rsidR="006A7756" w:rsidRPr="00086C94">
        <w:rPr>
          <w:color w:val="FFFFFF"/>
          <w:lang w:val="en-US"/>
        </w:rPr>
        <w:t xml:space="preserve"> </w:t>
      </w:r>
      <w:r w:rsidR="006A7756" w:rsidRPr="00086C94">
        <w:rPr>
          <w:position w:val="2"/>
          <w:lang w:val="en-US"/>
        </w:rPr>
        <w:t>culture,</w:t>
      </w:r>
      <w:r w:rsidR="006A7756" w:rsidRPr="00086C94">
        <w:rPr>
          <w:color w:val="FFFFFF"/>
          <w:lang w:val="en-US"/>
        </w:rPr>
        <w:t xml:space="preserve"> </w:t>
      </w:r>
      <w:r w:rsidR="006A7756" w:rsidRPr="00086C94">
        <w:rPr>
          <w:position w:val="2"/>
          <w:lang w:val="en-US"/>
        </w:rPr>
        <w:t>traditions,</w:t>
      </w:r>
      <w:r w:rsidR="006A7756" w:rsidRPr="00086C94">
        <w:rPr>
          <w:color w:val="FFFFFF"/>
          <w:lang w:val="en-US"/>
        </w:rPr>
        <w:t xml:space="preserve"> </w:t>
      </w:r>
      <w:r w:rsidR="006A7756" w:rsidRPr="00086C94">
        <w:rPr>
          <w:position w:val="2"/>
          <w:lang w:val="en-US"/>
        </w:rPr>
        <w:t>values</w:t>
      </w:r>
      <w:r w:rsidR="006A7756" w:rsidRPr="00086C94">
        <w:rPr>
          <w:color w:val="FFFFFF"/>
          <w:lang w:val="en-US"/>
        </w:rPr>
        <w:t xml:space="preserve"> </w:t>
      </w:r>
      <w:r w:rsidR="006A7756" w:rsidRPr="00086C94">
        <w:rPr>
          <w:position w:val="2"/>
          <w:lang w:val="en-US"/>
        </w:rPr>
        <w:t>and</w:t>
      </w:r>
      <w:r w:rsidR="006A7756" w:rsidRPr="00086C94">
        <w:rPr>
          <w:color w:val="FFFFFF"/>
          <w:lang w:val="en-US"/>
        </w:rPr>
        <w:t xml:space="preserve"> </w:t>
      </w:r>
      <w:r w:rsidR="006A7756" w:rsidRPr="00086C94">
        <w:rPr>
          <w:position w:val="2"/>
          <w:lang w:val="en-US"/>
        </w:rPr>
        <w:t xml:space="preserve">spirituality” of </w:t>
      </w:r>
      <w:r w:rsidR="006A7756">
        <w:rPr>
          <w:position w:val="2"/>
          <w:lang w:val="en-US"/>
        </w:rPr>
        <w:t>Indigenous P</w:t>
      </w:r>
      <w:r w:rsidR="006A7756" w:rsidRPr="00086C94">
        <w:rPr>
          <w:position w:val="2"/>
          <w:lang w:val="en-US"/>
        </w:rPr>
        <w:t>eoples.</w:t>
      </w:r>
      <w:bookmarkStart w:id="5" w:name="_Ref333995682"/>
      <w:r w:rsidR="006A7756">
        <w:rPr>
          <w:rStyle w:val="FootnoteReference"/>
          <w:position w:val="2"/>
          <w:lang w:val="en-US"/>
        </w:rPr>
        <w:footnoteReference w:id="7"/>
      </w:r>
      <w:bookmarkEnd w:id="5"/>
      <w:r w:rsidR="006A7756" w:rsidRPr="00086C94">
        <w:rPr>
          <w:position w:val="2"/>
          <w:lang w:val="en-US"/>
        </w:rPr>
        <w:t xml:space="preserve"> </w:t>
      </w:r>
      <w:r w:rsidR="006A7756">
        <w:t>The legal requirements for consultation vary among governments, but generally</w:t>
      </w:r>
      <w:r w:rsidR="001E7764">
        <w:t>,</w:t>
      </w:r>
      <w:r w:rsidR="006A7756">
        <w:t xml:space="preserve"> formal consultation represents a narrow portion of the full range of approaches to meaningful engagement</w:t>
      </w:r>
      <w:r w:rsidR="00CA594C">
        <w:t>.</w:t>
      </w:r>
      <w:r w:rsidR="003E6787">
        <w:t xml:space="preserve"> </w:t>
      </w:r>
    </w:p>
    <w:p w14:paraId="4359F9F5" w14:textId="77777777" w:rsidR="006A7756" w:rsidRDefault="006A7756" w:rsidP="003E6787">
      <w:pPr>
        <w:pStyle w:val="CommentText"/>
        <w:rPr>
          <w:position w:val="2"/>
          <w:lang w:val="en-US"/>
        </w:rPr>
      </w:pPr>
    </w:p>
    <w:p w14:paraId="3559687B" w14:textId="1A937D34" w:rsidR="00086C94" w:rsidRDefault="00B51F47" w:rsidP="003E6787">
      <w:pPr>
        <w:pStyle w:val="CommentText"/>
      </w:pPr>
      <w:r>
        <w:t>B</w:t>
      </w:r>
      <w:r w:rsidR="003F4599">
        <w:t xml:space="preserve">eyond </w:t>
      </w:r>
      <w:r w:rsidR="006A7756">
        <w:t xml:space="preserve">formal </w:t>
      </w:r>
      <w:r w:rsidR="003F4599">
        <w:t xml:space="preserve">consultation, </w:t>
      </w:r>
      <w:r w:rsidR="00551F13">
        <w:t xml:space="preserve">engagement by and with </w:t>
      </w:r>
      <w:r w:rsidR="00C95A84">
        <w:t>Indigenous</w:t>
      </w:r>
      <w:r w:rsidR="00086C94" w:rsidRPr="00B12B13">
        <w:t xml:space="preserve"> </w:t>
      </w:r>
      <w:r w:rsidR="00551F13">
        <w:t>Peoples</w:t>
      </w:r>
      <w:r w:rsidR="00086C94" w:rsidRPr="00B12B13">
        <w:t xml:space="preserve"> embodies a broader framework of everything from informal communication to participatory and shared governance, which can include co-management or complete delegations of decision-making authority and self-governance to </w:t>
      </w:r>
      <w:r w:rsidR="00C95A84">
        <w:t>Indigenous</w:t>
      </w:r>
      <w:r w:rsidR="00086C94" w:rsidRPr="00B12B13">
        <w:t xml:space="preserve"> governments.</w:t>
      </w:r>
    </w:p>
    <w:p w14:paraId="1E4406BB" w14:textId="77777777" w:rsidR="00A40756" w:rsidRPr="00B12B13" w:rsidRDefault="00A40756" w:rsidP="00A40756">
      <w:pPr>
        <w:widowControl w:val="0"/>
        <w:autoSpaceDE w:val="0"/>
        <w:autoSpaceDN w:val="0"/>
        <w:adjustRightInd w:val="0"/>
      </w:pPr>
    </w:p>
    <w:p w14:paraId="75BBBE81" w14:textId="2736E80B" w:rsidR="00E27665" w:rsidRDefault="00A40756" w:rsidP="00D8359C">
      <w:pPr>
        <w:widowControl w:val="0"/>
        <w:autoSpaceDE w:val="0"/>
        <w:autoSpaceDN w:val="0"/>
        <w:adjustRightInd w:val="0"/>
      </w:pPr>
      <w:r w:rsidRPr="008A4C06">
        <w:t xml:space="preserve">To be meaningful, </w:t>
      </w:r>
      <w:r>
        <w:t>engagement</w:t>
      </w:r>
      <w:r w:rsidRPr="008A4C06">
        <w:t xml:space="preserve"> must be rooted in an acknowledgement and respect for</w:t>
      </w:r>
      <w:r w:rsidRPr="00B12B13">
        <w:t xml:space="preserve"> the a</w:t>
      </w:r>
      <w:r w:rsidR="003F4599">
        <w:t xml:space="preserve">utonomous nature of </w:t>
      </w:r>
      <w:r w:rsidR="00C95A84">
        <w:t>Indigenous</w:t>
      </w:r>
      <w:r w:rsidR="003F4599">
        <w:t xml:space="preserve"> P</w:t>
      </w:r>
      <w:r w:rsidRPr="00B12B13">
        <w:t>eoples.</w:t>
      </w:r>
      <w:bookmarkStart w:id="6" w:name="_Ref333993101"/>
      <w:r w:rsidRPr="00B12B13">
        <w:rPr>
          <w:rStyle w:val="FootnoteReference"/>
        </w:rPr>
        <w:footnoteReference w:id="8"/>
      </w:r>
      <w:bookmarkEnd w:id="6"/>
      <w:r w:rsidRPr="00B12B13">
        <w:t xml:space="preserve"> </w:t>
      </w:r>
      <w:r w:rsidR="009971CE">
        <w:t>Engagement</w:t>
      </w:r>
      <w:r w:rsidRPr="00B12B13">
        <w:t xml:space="preserve"> must </w:t>
      </w:r>
      <w:r w:rsidR="00972BA4">
        <w:t>also begin at an early enough</w:t>
      </w:r>
      <w:r w:rsidRPr="00B12B13">
        <w:t xml:space="preserve"> stage to inform decision-making, be an accountable, transparent, on-going process of interaction and information exchange based on shared responsibility, and seek to reach mutually agreeable solutions.</w:t>
      </w:r>
      <w:bookmarkStart w:id="7" w:name="_Ref334083691"/>
      <w:r w:rsidRPr="00B12B13">
        <w:rPr>
          <w:rStyle w:val="FootnoteReference"/>
        </w:rPr>
        <w:footnoteReference w:id="9"/>
      </w:r>
      <w:bookmarkEnd w:id="7"/>
      <w:r w:rsidR="00963D8B">
        <w:t xml:space="preserve"> </w:t>
      </w:r>
      <w:r w:rsidR="00E27665">
        <w:br w:type="page"/>
      </w:r>
    </w:p>
    <w:p w14:paraId="79955875" w14:textId="06DF699A" w:rsidR="0082761F" w:rsidRPr="00B12B13" w:rsidRDefault="0082761F" w:rsidP="0071761E"/>
    <w:p w14:paraId="1728B65B" w14:textId="454BCA8F" w:rsidR="00086C94" w:rsidRPr="00F04A23" w:rsidRDefault="00086C94" w:rsidP="00C47393">
      <w:pPr>
        <w:pStyle w:val="Heading1"/>
        <w:numPr>
          <w:ilvl w:val="0"/>
          <w:numId w:val="18"/>
        </w:numPr>
        <w:rPr>
          <w:rFonts w:ascii="Times New Roman" w:hAnsi="Times New Roman" w:cs="Times New Roman"/>
          <w:color w:val="auto"/>
          <w:sz w:val="24"/>
          <w:szCs w:val="24"/>
        </w:rPr>
      </w:pPr>
      <w:bookmarkStart w:id="8" w:name="_Toc334125694"/>
      <w:r w:rsidRPr="00F04A23">
        <w:rPr>
          <w:rFonts w:ascii="Times New Roman" w:hAnsi="Times New Roman" w:cs="Times New Roman"/>
          <w:color w:val="auto"/>
          <w:sz w:val="24"/>
          <w:szCs w:val="24"/>
        </w:rPr>
        <w:t>What are the Purposes and Benefits of Engagement?</w:t>
      </w:r>
      <w:bookmarkEnd w:id="8"/>
    </w:p>
    <w:p w14:paraId="0FE87417" w14:textId="77777777" w:rsidR="00086C94" w:rsidRPr="00B12B13" w:rsidRDefault="00086C94" w:rsidP="0082761F">
      <w:pPr>
        <w:pStyle w:val="ListParagraph"/>
        <w:widowControl w:val="0"/>
        <w:autoSpaceDE w:val="0"/>
        <w:autoSpaceDN w:val="0"/>
        <w:adjustRightInd w:val="0"/>
      </w:pPr>
    </w:p>
    <w:p w14:paraId="1469F8A5" w14:textId="07653C79" w:rsidR="004057F3" w:rsidRDefault="00721C78" w:rsidP="00D81B52">
      <w:pPr>
        <w:widowControl w:val="0"/>
        <w:autoSpaceDE w:val="0"/>
        <w:autoSpaceDN w:val="0"/>
        <w:adjustRightInd w:val="0"/>
      </w:pPr>
      <w:r>
        <w:t>Meaningful engagement can</w:t>
      </w:r>
      <w:r w:rsidR="008372B6">
        <w:t xml:space="preserve"> benefit </w:t>
      </w:r>
      <w:r w:rsidR="004057F3">
        <w:t>a</w:t>
      </w:r>
      <w:r w:rsidR="003778C6">
        <w:t xml:space="preserve">ll parties in the relationship as well as create benefits that extend beyond the relationship itself. </w:t>
      </w:r>
      <w:r w:rsidR="00F57EB8">
        <w:t>E</w:t>
      </w:r>
      <w:r w:rsidR="001D05F7">
        <w:t>ngagement can protect I</w:t>
      </w:r>
      <w:r w:rsidR="001923EF">
        <w:t xml:space="preserve">ndigenous rights, help outsiders achieve their objectives, </w:t>
      </w:r>
      <w:r w:rsidR="00F24A07">
        <w:t xml:space="preserve">strengthen knowledge and decision making for all parties, </w:t>
      </w:r>
      <w:r w:rsidR="001923EF">
        <w:t>and lead to the discovery of new information</w:t>
      </w:r>
      <w:r w:rsidR="00A65215">
        <w:t>, activities,</w:t>
      </w:r>
      <w:r w:rsidR="001923EF">
        <w:t xml:space="preserve"> and management approaches that benefit the entire region. </w:t>
      </w:r>
    </w:p>
    <w:p w14:paraId="132E4579" w14:textId="77777777" w:rsidR="003778C6" w:rsidRDefault="003778C6" w:rsidP="00D81B52">
      <w:pPr>
        <w:widowControl w:val="0"/>
        <w:autoSpaceDE w:val="0"/>
        <w:autoSpaceDN w:val="0"/>
        <w:adjustRightInd w:val="0"/>
        <w:rPr>
          <w:rStyle w:val="CommentReference"/>
        </w:rPr>
      </w:pPr>
    </w:p>
    <w:p w14:paraId="25EB2A05" w14:textId="655CA5A2" w:rsidR="00BB62E1" w:rsidRDefault="00D81B52" w:rsidP="00BB62E1">
      <w:pPr>
        <w:widowControl w:val="0"/>
        <w:autoSpaceDE w:val="0"/>
        <w:autoSpaceDN w:val="0"/>
        <w:adjustRightInd w:val="0"/>
      </w:pPr>
      <w:r w:rsidRPr="00B12B13">
        <w:t xml:space="preserve">One </w:t>
      </w:r>
      <w:r>
        <w:t>of the fundamental purposes of Indigenous</w:t>
      </w:r>
      <w:r w:rsidRPr="00B12B13">
        <w:t xml:space="preserve"> engagement is to </w:t>
      </w:r>
      <w:r>
        <w:t>acknowledge, respect, and support Indigenous</w:t>
      </w:r>
      <w:r w:rsidRPr="00B12B13">
        <w:t xml:space="preserve"> human rights, including the right self-determination, culture, land, and development.</w:t>
      </w:r>
      <w:r w:rsidRPr="00B12B13">
        <w:rPr>
          <w:rStyle w:val="FootnoteReference"/>
        </w:rPr>
        <w:footnoteReference w:id="10"/>
      </w:r>
      <w:r w:rsidRPr="00B12B13">
        <w:t xml:space="preserve"> </w:t>
      </w:r>
      <w:r>
        <w:t xml:space="preserve">Engagement enables outsiders to gain an understanding of these rights and how proposed activities may affect Indigenous Peoples. </w:t>
      </w:r>
      <w:r w:rsidR="003006E2">
        <w:t>Thus, engagement can</w:t>
      </w:r>
      <w:r w:rsidR="000818B8">
        <w:t xml:space="preserve"> help outsiders to understand</w:t>
      </w:r>
      <w:r w:rsidR="000818B8" w:rsidRPr="00CE6AAC">
        <w:t xml:space="preserve"> how to work with Indigenous Peoples so that they, too, can benefit from the activities that take place in their lands and waters. </w:t>
      </w:r>
      <w:r w:rsidR="00BB62E1">
        <w:t xml:space="preserve">If there are potential negative impacts to Indigenous Peoples from a proposed activity, engagement can </w:t>
      </w:r>
      <w:r w:rsidR="00BB62E1" w:rsidRPr="00B12B13">
        <w:t xml:space="preserve">broaden the range of solutions considered, </w:t>
      </w:r>
      <w:r w:rsidR="00BB62E1">
        <w:t xml:space="preserve">help outsiders to understand how to </w:t>
      </w:r>
      <w:r w:rsidR="00BB62E1" w:rsidRPr="00CE6AAC">
        <w:t>modify their activities to eliminate or minimize the negative impacts</w:t>
      </w:r>
      <w:r w:rsidR="00BB62E1">
        <w:t>, and increase</w:t>
      </w:r>
      <w:r w:rsidR="00BB62E1" w:rsidRPr="00B12B13">
        <w:t xml:space="preserve"> the chance that a mutually satisfactory outcome will be achieved.</w:t>
      </w:r>
      <w:r w:rsidR="00BB62E1" w:rsidRPr="000818B8">
        <w:t xml:space="preserve"> </w:t>
      </w:r>
    </w:p>
    <w:p w14:paraId="53FDE64C" w14:textId="77777777" w:rsidR="007D5DF7" w:rsidRPr="00B12B13" w:rsidRDefault="007D5DF7" w:rsidP="007D5DF7">
      <w:pPr>
        <w:keepNext/>
        <w:keepLines/>
      </w:pPr>
    </w:p>
    <w:p w14:paraId="4E78DD22" w14:textId="7BE4A76F" w:rsidR="007D5DF7" w:rsidRPr="00B12B13" w:rsidRDefault="007D5DF7" w:rsidP="007D5DF7">
      <w:pPr>
        <w:widowControl w:val="0"/>
        <w:autoSpaceDE w:val="0"/>
        <w:autoSpaceDN w:val="0"/>
        <w:adjustRightInd w:val="0"/>
      </w:pPr>
      <w:r w:rsidRPr="00B12B13">
        <w:t xml:space="preserve">Engagement can help governments to meet their obligation to </w:t>
      </w:r>
      <w:r>
        <w:t>protect, respect, and fulfill Indigenous</w:t>
      </w:r>
      <w:r w:rsidRPr="00B12B13">
        <w:t xml:space="preserve"> rights. A government</w:t>
      </w:r>
      <w:r w:rsidR="007C2FC0">
        <w:t>’s obligation of engagement in part</w:t>
      </w:r>
      <w:r w:rsidRPr="00B12B13">
        <w:t xml:space="preserve"> stems from the fiduciary or “trust” rela</w:t>
      </w:r>
      <w:r>
        <w:t>tionship that was created when Indigenous P</w:t>
      </w:r>
      <w:r w:rsidRPr="00B12B13">
        <w:t>eople</w:t>
      </w:r>
      <w:r>
        <w:t>s</w:t>
      </w:r>
      <w:r w:rsidRPr="00B12B13">
        <w:t xml:space="preserve"> ceded land and resources to federal governments. Wher</w:t>
      </w:r>
      <w:r>
        <w:t>e Indigenous</w:t>
      </w:r>
      <w:r w:rsidRPr="00B12B13">
        <w:t xml:space="preserve"> human rights have been diminished through colonial and neo-colonial relationships with Arctic governments, engagement </w:t>
      </w:r>
      <w:r>
        <w:t>acknowledges the importance of establishing equita</w:t>
      </w:r>
      <w:r w:rsidR="002B3646">
        <w:t>ble platforms and relationships,</w:t>
      </w:r>
      <w:r>
        <w:t xml:space="preserve"> leading to greater equity and autonomy of Indigenous P</w:t>
      </w:r>
      <w:r w:rsidRPr="00B12B13">
        <w:t>eoples. Thus, it is part of the pro</w:t>
      </w:r>
      <w:r>
        <w:t>cess of reconciliation between Indigenous P</w:t>
      </w:r>
      <w:r w:rsidRPr="00B12B13">
        <w:t>eoples and national governments.</w:t>
      </w:r>
      <w:r w:rsidRPr="00B12B13">
        <w:rPr>
          <w:rStyle w:val="FootnoteReference"/>
        </w:rPr>
        <w:footnoteReference w:id="11"/>
      </w:r>
      <w:r>
        <w:t xml:space="preserve"> Companie</w:t>
      </w:r>
      <w:r w:rsidRPr="00B12B13">
        <w:t>s can similarly use engagement to f</w:t>
      </w:r>
      <w:r>
        <w:t>ulfill their duties to respect Indigenous</w:t>
      </w:r>
      <w:r w:rsidRPr="00B12B13">
        <w:t xml:space="preserve"> human rights.</w:t>
      </w:r>
      <w:bookmarkStart w:id="9" w:name="_Ref333307740"/>
      <w:r w:rsidRPr="00B12B13">
        <w:rPr>
          <w:rStyle w:val="FootnoteReference"/>
        </w:rPr>
        <w:footnoteReference w:id="12"/>
      </w:r>
      <w:bookmarkEnd w:id="9"/>
      <w:r w:rsidRPr="00B12B13">
        <w:t xml:space="preserve"> </w:t>
      </w:r>
    </w:p>
    <w:p w14:paraId="3A234E35" w14:textId="77777777" w:rsidR="00CE6AAC" w:rsidRPr="00CE6AAC" w:rsidRDefault="00CE6AAC" w:rsidP="00D81B52">
      <w:pPr>
        <w:widowControl w:val="0"/>
        <w:autoSpaceDE w:val="0"/>
        <w:autoSpaceDN w:val="0"/>
        <w:adjustRightInd w:val="0"/>
      </w:pPr>
    </w:p>
    <w:p w14:paraId="5BEF5374" w14:textId="53C19AF5" w:rsidR="001D05F7" w:rsidRDefault="001D05F7" w:rsidP="001D05F7">
      <w:r w:rsidRPr="00B12B13">
        <w:t xml:space="preserve">To achieve their right to self-determination </w:t>
      </w:r>
      <w:r w:rsidR="003006E2">
        <w:t>within existing</w:t>
      </w:r>
      <w:r w:rsidRPr="00B12B13">
        <w:t xml:space="preserve"> political </w:t>
      </w:r>
      <w:r>
        <w:t>and legal system</w:t>
      </w:r>
      <w:r w:rsidR="003006E2">
        <w:t>s</w:t>
      </w:r>
      <w:r>
        <w:t>, Indigenous P</w:t>
      </w:r>
      <w:r w:rsidRPr="00B12B13">
        <w:t xml:space="preserve">eoples must seek to </w:t>
      </w:r>
      <w:r>
        <w:t>work with</w:t>
      </w:r>
      <w:r w:rsidRPr="00B12B13">
        <w:t xml:space="preserve"> the non-</w:t>
      </w:r>
      <w:r>
        <w:t>Indigenous</w:t>
      </w:r>
      <w:r w:rsidRPr="00B12B13">
        <w:t xml:space="preserve"> entities whose decisions affect them. This influence can be achieved through </w:t>
      </w:r>
      <w:r>
        <w:t>meaningful engagement, supporting and enhancing Indigenous P</w:t>
      </w:r>
      <w:r w:rsidRPr="00B12B13">
        <w:t>eoples to establish fate control.</w:t>
      </w:r>
      <w:bookmarkStart w:id="10" w:name="_Ref334000217"/>
      <w:r w:rsidRPr="00B12B13">
        <w:rPr>
          <w:rStyle w:val="FootnoteReference"/>
        </w:rPr>
        <w:footnoteReference w:id="13"/>
      </w:r>
      <w:bookmarkEnd w:id="10"/>
    </w:p>
    <w:p w14:paraId="402FF10F" w14:textId="77777777" w:rsidR="001D05F7" w:rsidRDefault="001D05F7" w:rsidP="001D05F7"/>
    <w:p w14:paraId="40B714BF" w14:textId="279332FA" w:rsidR="00B43915" w:rsidRDefault="00D81B52" w:rsidP="001D05F7">
      <w:r w:rsidRPr="00CE6AAC">
        <w:t>Engagement ca</w:t>
      </w:r>
      <w:r w:rsidR="00F24A07">
        <w:t>n also aid outsiders build</w:t>
      </w:r>
      <w:r w:rsidRPr="00CE6AAC">
        <w:t xml:space="preserve"> mutual respect with Indi</w:t>
      </w:r>
      <w:r w:rsidR="00D27A0B">
        <w:t>genous Peoples and understand</w:t>
      </w:r>
      <w:r w:rsidRPr="00CE6AAC">
        <w:t xml:space="preserve"> their beliefs, knowledge system, management prac</w:t>
      </w:r>
      <w:r w:rsidR="001D05F7">
        <w:t xml:space="preserve">tices, and political processes. This can result </w:t>
      </w:r>
      <w:r w:rsidR="001D05F7">
        <w:lastRenderedPageBreak/>
        <w:t>in</w:t>
      </w:r>
      <w:r w:rsidR="00086C94" w:rsidRPr="00B12B13">
        <w:t xml:space="preserve"> information</w:t>
      </w:r>
      <w:r w:rsidR="001D05F7">
        <w:t xml:space="preserve"> sharing and knowledge</w:t>
      </w:r>
      <w:r w:rsidR="00F24A07">
        <w:t xml:space="preserve"> that leads to better decision </w:t>
      </w:r>
      <w:r w:rsidR="00086C94" w:rsidRPr="00B12B13">
        <w:t>making. For exampl</w:t>
      </w:r>
      <w:r w:rsidR="009A3DBA">
        <w:t xml:space="preserve">e, the information gained from </w:t>
      </w:r>
      <w:r w:rsidR="00C95A84">
        <w:t>Indigenous</w:t>
      </w:r>
      <w:r w:rsidR="009A3DBA">
        <w:t xml:space="preserve"> P</w:t>
      </w:r>
      <w:r w:rsidR="00086C94" w:rsidRPr="00B12B13">
        <w:t xml:space="preserve">eoples through </w:t>
      </w:r>
      <w:r w:rsidR="008263CC">
        <w:t>engagement</w:t>
      </w:r>
      <w:r w:rsidR="00086C94" w:rsidRPr="00B12B13">
        <w:t xml:space="preserve"> can help to limit </w:t>
      </w:r>
      <w:r w:rsidR="009A3DBA">
        <w:t>a</w:t>
      </w:r>
      <w:r w:rsidR="00086C94" w:rsidRPr="00B12B13">
        <w:t xml:space="preserve"> project’s impacts to the environment, thereby contributing to sustainable management.</w:t>
      </w:r>
      <w:bookmarkStart w:id="11" w:name="_Ref333348796"/>
      <w:r w:rsidR="00086C94" w:rsidRPr="00B12B13">
        <w:rPr>
          <w:rStyle w:val="FootnoteReference"/>
        </w:rPr>
        <w:footnoteReference w:id="14"/>
      </w:r>
      <w:bookmarkEnd w:id="11"/>
      <w:r w:rsidR="00086C94" w:rsidRPr="00B12B13">
        <w:t xml:space="preserve"> Information gained from engagement can similarly help </w:t>
      </w:r>
      <w:r w:rsidR="000259C0">
        <w:t>outsiders</w:t>
      </w:r>
      <w:r w:rsidR="00086C94" w:rsidRPr="00B12B13">
        <w:t xml:space="preserve"> to operate more effectively or efficiently, resulting in direct benefits to those who are conducting the activities. </w:t>
      </w:r>
      <w:r w:rsidR="000259C0">
        <w:t xml:space="preserve">For example, engagement can help an organization </w:t>
      </w:r>
      <w:r w:rsidR="000259C0">
        <w:rPr>
          <w:color w:val="1A1A1A"/>
          <w:lang w:val="en-US"/>
        </w:rPr>
        <w:t xml:space="preserve">learn </w:t>
      </w:r>
      <w:r w:rsidR="000259C0" w:rsidRPr="000818B8">
        <w:rPr>
          <w:color w:val="1A1A1A"/>
          <w:lang w:val="en-US"/>
        </w:rPr>
        <w:t>what time of year will most be conducive</w:t>
      </w:r>
      <w:r w:rsidR="000259C0">
        <w:rPr>
          <w:color w:val="1A1A1A"/>
          <w:lang w:val="en-US"/>
        </w:rPr>
        <w:t xml:space="preserve"> to carrying out activities or</w:t>
      </w:r>
      <w:r w:rsidR="000259C0">
        <w:t xml:space="preserve"> improve</w:t>
      </w:r>
      <w:r w:rsidR="000259C0" w:rsidRPr="00CE6AAC">
        <w:t xml:space="preserve"> </w:t>
      </w:r>
      <w:r w:rsidR="000259C0">
        <w:t xml:space="preserve">the </w:t>
      </w:r>
      <w:r w:rsidR="000259C0" w:rsidRPr="00CE6AAC">
        <w:t>safety</w:t>
      </w:r>
      <w:r w:rsidR="000259C0">
        <w:t xml:space="preserve"> of its operations</w:t>
      </w:r>
      <w:r w:rsidR="000259C0" w:rsidRPr="00CE6AAC">
        <w:t>.</w:t>
      </w:r>
      <w:r w:rsidR="000259C0" w:rsidRPr="00CE6AAC">
        <w:rPr>
          <w:rStyle w:val="FootnoteReference"/>
        </w:rPr>
        <w:footnoteReference w:id="15"/>
      </w:r>
    </w:p>
    <w:p w14:paraId="1D47A096" w14:textId="77777777" w:rsidR="001D05F7" w:rsidRDefault="001D05F7" w:rsidP="001D05F7"/>
    <w:p w14:paraId="5DB29682" w14:textId="32E25507" w:rsidR="00086C94" w:rsidRPr="001D05F7" w:rsidRDefault="001D05F7" w:rsidP="001D05F7">
      <w:r>
        <w:t>For outside entities</w:t>
      </w:r>
      <w:r w:rsidR="00086C94" w:rsidRPr="00B12B13">
        <w:t xml:space="preserve">, </w:t>
      </w:r>
      <w:r w:rsidR="00086C94" w:rsidRPr="0082761F">
        <w:rPr>
          <w:lang w:val="en-US"/>
        </w:rPr>
        <w:t>engagement can</w:t>
      </w:r>
      <w:r>
        <w:rPr>
          <w:lang w:val="en-US"/>
        </w:rPr>
        <w:t xml:space="preserve"> also </w:t>
      </w:r>
      <w:r w:rsidR="009529CE">
        <w:rPr>
          <w:lang w:val="en-US"/>
        </w:rPr>
        <w:t xml:space="preserve">support </w:t>
      </w:r>
      <w:r w:rsidR="000259C0">
        <w:rPr>
          <w:lang w:val="en-US"/>
        </w:rPr>
        <w:t xml:space="preserve">the </w:t>
      </w:r>
      <w:r w:rsidR="00F24A07">
        <w:rPr>
          <w:lang w:val="en-US"/>
        </w:rPr>
        <w:t xml:space="preserve">integrity and </w:t>
      </w:r>
      <w:r w:rsidR="000259C0">
        <w:rPr>
          <w:lang w:val="en-US"/>
        </w:rPr>
        <w:t xml:space="preserve">legitimacy of </w:t>
      </w:r>
      <w:r w:rsidR="009529CE">
        <w:rPr>
          <w:lang w:val="en-US"/>
        </w:rPr>
        <w:t>decision-making</w:t>
      </w:r>
      <w:r w:rsidR="00086C94" w:rsidRPr="0082761F">
        <w:rPr>
          <w:lang w:val="en-US"/>
        </w:rPr>
        <w:t>.</w:t>
      </w:r>
      <w:r w:rsidR="00086C94" w:rsidRPr="00B12B13">
        <w:rPr>
          <w:rStyle w:val="FootnoteReference"/>
          <w:lang w:val="en-US"/>
        </w:rPr>
        <w:footnoteReference w:id="16"/>
      </w:r>
      <w:r w:rsidR="00E23934">
        <w:rPr>
          <w:lang w:val="en-US"/>
        </w:rPr>
        <w:t xml:space="preserve"> This is because a decision </w:t>
      </w:r>
      <w:r w:rsidR="00887F77">
        <w:rPr>
          <w:lang w:val="en-US"/>
        </w:rPr>
        <w:t>to allow</w:t>
      </w:r>
      <w:r>
        <w:rPr>
          <w:lang w:val="en-US"/>
        </w:rPr>
        <w:t xml:space="preserve"> or conduct</w:t>
      </w:r>
      <w:r w:rsidR="00887F77">
        <w:rPr>
          <w:lang w:val="en-US"/>
        </w:rPr>
        <w:t xml:space="preserve"> an activity in the </w:t>
      </w:r>
      <w:r w:rsidR="00E23934">
        <w:rPr>
          <w:lang w:val="en-US"/>
        </w:rPr>
        <w:t xml:space="preserve">Arctic will </w:t>
      </w:r>
      <w:r w:rsidR="009529CE">
        <w:rPr>
          <w:lang w:val="en-US"/>
        </w:rPr>
        <w:t xml:space="preserve">be stronger </w:t>
      </w:r>
      <w:r w:rsidR="00E23934">
        <w:rPr>
          <w:lang w:val="en-US"/>
        </w:rPr>
        <w:t xml:space="preserve">if it is based on the input of people who have the best knowledge of the Arctic and </w:t>
      </w:r>
      <w:r w:rsidR="00887F77">
        <w:rPr>
          <w:lang w:val="en-US"/>
        </w:rPr>
        <w:t xml:space="preserve">if it takes into account the preferences of those who will be most affected by the proposed activities. </w:t>
      </w:r>
    </w:p>
    <w:p w14:paraId="2744F28A" w14:textId="77777777" w:rsidR="00086C94" w:rsidRPr="00B12B13" w:rsidRDefault="00086C94" w:rsidP="0082761F">
      <w:pPr>
        <w:pStyle w:val="ListParagraph"/>
      </w:pPr>
    </w:p>
    <w:p w14:paraId="6B47933D" w14:textId="736C697F" w:rsidR="001D05F7" w:rsidRPr="00FD4549" w:rsidRDefault="000259C0" w:rsidP="00FD4549">
      <w:pPr>
        <w:rPr>
          <w:color w:val="1A1A1A"/>
          <w:lang w:val="en-US"/>
        </w:rPr>
      </w:pPr>
      <w:r>
        <w:rPr>
          <w:color w:val="1A1A1A"/>
          <w:lang w:val="en-US"/>
        </w:rPr>
        <w:t>Comprehensive, ongoing engagement</w:t>
      </w:r>
      <w:r w:rsidRPr="000818B8">
        <w:rPr>
          <w:color w:val="1A1A1A"/>
          <w:lang w:val="en-US"/>
        </w:rPr>
        <w:t xml:space="preserve"> will </w:t>
      </w:r>
      <w:r>
        <w:rPr>
          <w:color w:val="1A1A1A"/>
          <w:lang w:val="en-US"/>
        </w:rPr>
        <w:t xml:space="preserve">also help to build </w:t>
      </w:r>
      <w:r w:rsidRPr="000818B8">
        <w:rPr>
          <w:color w:val="1A1A1A"/>
          <w:lang w:val="en-US"/>
        </w:rPr>
        <w:t>long-term partnership</w:t>
      </w:r>
      <w:r>
        <w:rPr>
          <w:color w:val="1A1A1A"/>
          <w:lang w:val="en-US"/>
        </w:rPr>
        <w:t>s, which could result in mutual benefits such as co-produced</w:t>
      </w:r>
      <w:r w:rsidR="00A84135">
        <w:rPr>
          <w:color w:val="1A1A1A"/>
          <w:lang w:val="en-US"/>
        </w:rPr>
        <w:t xml:space="preserve"> research</w:t>
      </w:r>
      <w:r>
        <w:rPr>
          <w:color w:val="1A1A1A"/>
          <w:lang w:val="en-US"/>
        </w:rPr>
        <w:t>, jointly operated activities, and co-management.</w:t>
      </w:r>
      <w:r w:rsidR="00FD4549">
        <w:rPr>
          <w:color w:val="1A1A1A"/>
          <w:lang w:val="en-US"/>
        </w:rPr>
        <w:t xml:space="preserve"> </w:t>
      </w:r>
      <w:r w:rsidR="009529CE">
        <w:t>Beyond the benefits that each party derives separately</w:t>
      </w:r>
      <w:r>
        <w:t xml:space="preserve"> and together</w:t>
      </w:r>
      <w:r w:rsidR="009529CE">
        <w:t xml:space="preserve">, however, meaningful engagement can have positive effects that go far beyond the relationships between those parties. </w:t>
      </w:r>
      <w:r w:rsidR="00105E2F">
        <w:t>For example, engagement of Permanent Participants at the Ar</w:t>
      </w:r>
      <w:r w:rsidR="004B48D3">
        <w:t>c</w:t>
      </w:r>
      <w:r w:rsidR="00105E2F">
        <w:t xml:space="preserve">tic Council can result in the sharing of knowledge between local and international scales. Similarly, relationships developed in one forum, such as the Arctic Council, can </w:t>
      </w:r>
      <w:r w:rsidR="00D117FF">
        <w:t>support</w:t>
      </w:r>
      <w:r w:rsidR="00105E2F">
        <w:t xml:space="preserve"> information and management approaches in other forums, such as the Inter</w:t>
      </w:r>
      <w:r w:rsidR="00FD4549">
        <w:t>national Maritime Organization.</w:t>
      </w:r>
      <w:r w:rsidR="00105E2F">
        <w:t xml:space="preserve"> </w:t>
      </w:r>
      <w:r w:rsidR="00A448EB">
        <w:t>T</w:t>
      </w:r>
      <w:r w:rsidR="001D05F7">
        <w:t>he co-production of knowledge and co-management</w:t>
      </w:r>
      <w:r w:rsidR="00A448EB">
        <w:t xml:space="preserve"> that results from meaningful engagement can</w:t>
      </w:r>
      <w:r w:rsidR="001D05F7">
        <w:t xml:space="preserve"> benefit people and living resources throughout the Arctic.</w:t>
      </w:r>
    </w:p>
    <w:p w14:paraId="6B5B54C4" w14:textId="77777777" w:rsidR="00456602" w:rsidRDefault="00456602" w:rsidP="00C10A75"/>
    <w:p w14:paraId="74CF3C81" w14:textId="511FDA5C" w:rsidR="00495A14" w:rsidRDefault="0034334E" w:rsidP="00C10A75">
      <w:r>
        <w:t xml:space="preserve">In sum, the purpose of engagement is to share benefits with and minimize negative impacts to Indigenous Peoples; support safer, smarter, and more </w:t>
      </w:r>
      <w:r w:rsidR="00A448EB">
        <w:t xml:space="preserve">successful </w:t>
      </w:r>
      <w:r>
        <w:t xml:space="preserve">activities; </w:t>
      </w:r>
      <w:r w:rsidR="00105E2F">
        <w:t xml:space="preserve">develop and share </w:t>
      </w:r>
      <w:r w:rsidR="009529CE">
        <w:t>knowledge</w:t>
      </w:r>
      <w:r w:rsidR="00105E2F">
        <w:t>, information, and management approaches across a broad range of scales and forums</w:t>
      </w:r>
      <w:r w:rsidR="009529CE">
        <w:t xml:space="preserve">; </w:t>
      </w:r>
      <w:r>
        <w:t xml:space="preserve">and provide a basis for better decision making. </w:t>
      </w:r>
      <w:r w:rsidR="00086C94" w:rsidRPr="00B12B13">
        <w:t>Whether engagement is meaningful will depend on whether it achieves these underlying purposes.</w:t>
      </w:r>
      <w:bookmarkStart w:id="12" w:name="_Ref334083840"/>
      <w:r w:rsidR="00086C94" w:rsidRPr="00B12B13">
        <w:rPr>
          <w:rStyle w:val="FootnoteReference"/>
        </w:rPr>
        <w:footnoteReference w:id="17"/>
      </w:r>
      <w:bookmarkEnd w:id="12"/>
      <w:r w:rsidR="00086C94" w:rsidRPr="00B12B13">
        <w:t xml:space="preserve"> </w:t>
      </w:r>
    </w:p>
    <w:p w14:paraId="4E08EE10" w14:textId="77777777" w:rsidR="00495A14" w:rsidRDefault="00495A14">
      <w:r>
        <w:br w:type="page"/>
      </w:r>
    </w:p>
    <w:p w14:paraId="0070B1A9" w14:textId="77777777" w:rsidR="00D8359C" w:rsidRPr="00C10A75" w:rsidRDefault="00D8359C" w:rsidP="00C10A75"/>
    <w:p w14:paraId="45574303" w14:textId="0ECAAECA" w:rsidR="00B50427" w:rsidRPr="00C47393" w:rsidRDefault="00B50427" w:rsidP="00C47393">
      <w:pPr>
        <w:pStyle w:val="Heading1"/>
        <w:numPr>
          <w:ilvl w:val="0"/>
          <w:numId w:val="18"/>
        </w:numPr>
        <w:rPr>
          <w:rFonts w:ascii="Times New Roman" w:hAnsi="Times New Roman" w:cs="Times New Roman"/>
          <w:color w:val="auto"/>
          <w:sz w:val="24"/>
          <w:szCs w:val="24"/>
        </w:rPr>
      </w:pPr>
      <w:bookmarkStart w:id="13" w:name="_Toc334125695"/>
      <w:r w:rsidRPr="00C47393">
        <w:rPr>
          <w:rFonts w:ascii="Times New Roman" w:hAnsi="Times New Roman" w:cs="Times New Roman"/>
          <w:color w:val="auto"/>
          <w:sz w:val="24"/>
          <w:szCs w:val="24"/>
        </w:rPr>
        <w:t>Sources of the Obligation to Engage</w:t>
      </w:r>
      <w:bookmarkEnd w:id="13"/>
      <w:r w:rsidRPr="00C47393">
        <w:rPr>
          <w:rFonts w:ascii="Times New Roman" w:hAnsi="Times New Roman" w:cs="Times New Roman"/>
          <w:color w:val="auto"/>
          <w:sz w:val="24"/>
          <w:szCs w:val="24"/>
        </w:rPr>
        <w:t xml:space="preserve"> </w:t>
      </w:r>
    </w:p>
    <w:p w14:paraId="3FB2AF3E" w14:textId="77777777" w:rsidR="00B50427" w:rsidRPr="00925B59" w:rsidRDefault="00B50427" w:rsidP="00B12B13">
      <w:pPr>
        <w:pStyle w:val="ListParagraph"/>
        <w:widowControl w:val="0"/>
        <w:autoSpaceDE w:val="0"/>
        <w:autoSpaceDN w:val="0"/>
        <w:adjustRightInd w:val="0"/>
        <w:ind w:left="1080"/>
        <w:rPr>
          <w:b/>
        </w:rPr>
      </w:pPr>
    </w:p>
    <w:p w14:paraId="71CC9936" w14:textId="099E2963" w:rsidR="00712550" w:rsidRPr="00925B59" w:rsidRDefault="009D46F7" w:rsidP="00B12B13">
      <w:pPr>
        <w:widowControl w:val="0"/>
        <w:autoSpaceDE w:val="0"/>
        <w:autoSpaceDN w:val="0"/>
        <w:adjustRightInd w:val="0"/>
      </w:pPr>
      <w:r w:rsidRPr="00925B59">
        <w:t xml:space="preserve">A wide range of laws, policies, and practices </w:t>
      </w:r>
      <w:r w:rsidR="00FC39EF" w:rsidRPr="00925B59">
        <w:t>create</w:t>
      </w:r>
      <w:r w:rsidR="00712550" w:rsidRPr="00925B59">
        <w:t xml:space="preserve"> standa</w:t>
      </w:r>
      <w:r w:rsidR="00FC63E1">
        <w:t xml:space="preserve">rds for engagement with Arctic </w:t>
      </w:r>
      <w:r w:rsidR="00C95A84">
        <w:t>Indigenous</w:t>
      </w:r>
      <w:r w:rsidR="00FC63E1">
        <w:t xml:space="preserve"> P</w:t>
      </w:r>
      <w:r w:rsidR="00712550" w:rsidRPr="00925B59">
        <w:t xml:space="preserve">eoples. </w:t>
      </w:r>
      <w:r w:rsidR="00C519D9" w:rsidRPr="00925B59">
        <w:t xml:space="preserve">Generally, these standards are articulated with respect to a particular kind of entity or a specific type of activity. For example, </w:t>
      </w:r>
      <w:r w:rsidR="00712550" w:rsidRPr="00925B59">
        <w:t xml:space="preserve">many are focused </w:t>
      </w:r>
      <w:r w:rsidR="005C1EC4">
        <w:t xml:space="preserve">on engagement by governments, </w:t>
      </w:r>
      <w:r w:rsidR="00C05BE0">
        <w:t xml:space="preserve">resource extraction </w:t>
      </w:r>
      <w:r w:rsidR="000B26FB">
        <w:t>companies</w:t>
      </w:r>
      <w:r w:rsidR="005C1EC4">
        <w:t>,</w:t>
      </w:r>
      <w:r w:rsidR="00712550" w:rsidRPr="00925B59">
        <w:t xml:space="preserve"> </w:t>
      </w:r>
      <w:r w:rsidR="005C1EC4">
        <w:t xml:space="preserve">and </w:t>
      </w:r>
      <w:r w:rsidR="00C519D9" w:rsidRPr="00925B59">
        <w:t>researchers</w:t>
      </w:r>
      <w:r w:rsidR="000C0C44" w:rsidRPr="00925B59">
        <w:t>, while l</w:t>
      </w:r>
      <w:r w:rsidR="00C519D9" w:rsidRPr="00925B59">
        <w:t>ess</w:t>
      </w:r>
      <w:r w:rsidR="00712550" w:rsidRPr="00925B59">
        <w:t xml:space="preserve"> guidance exists for other </w:t>
      </w:r>
      <w:r w:rsidR="00C519D9" w:rsidRPr="00925B59">
        <w:t>entities operating in the Arctic</w:t>
      </w:r>
      <w:r w:rsidR="005C1EC4">
        <w:t>, such as tourist operators, ships, and NGOs</w:t>
      </w:r>
      <w:r w:rsidR="00712550" w:rsidRPr="00925B59">
        <w:t xml:space="preserve">. </w:t>
      </w:r>
      <w:r w:rsidR="002A6336" w:rsidRPr="00925B59">
        <w:t>Yet, as discussed in more det</w:t>
      </w:r>
      <w:r w:rsidR="00BF321E">
        <w:t>ail in the next section, the good practices identified by</w:t>
      </w:r>
      <w:r w:rsidR="002A6336" w:rsidRPr="00925B59">
        <w:t xml:space="preserve"> these diverse sources share many common themes.</w:t>
      </w:r>
    </w:p>
    <w:p w14:paraId="1FB952F9" w14:textId="77777777" w:rsidR="00712550" w:rsidRDefault="00712550" w:rsidP="00B12B13">
      <w:pPr>
        <w:widowControl w:val="0"/>
        <w:autoSpaceDE w:val="0"/>
        <w:autoSpaceDN w:val="0"/>
        <w:adjustRightInd w:val="0"/>
      </w:pPr>
    </w:p>
    <w:p w14:paraId="1FCFC508" w14:textId="4A0024E2" w:rsidR="00760B45" w:rsidRPr="000E045D" w:rsidRDefault="00760B45" w:rsidP="00C47393">
      <w:pPr>
        <w:pStyle w:val="Heading2"/>
        <w:numPr>
          <w:ilvl w:val="0"/>
          <w:numId w:val="14"/>
        </w:numPr>
        <w:rPr>
          <w:rFonts w:ascii="Times New Roman" w:hAnsi="Times New Roman" w:cs="Times New Roman"/>
          <w:color w:val="auto"/>
          <w:sz w:val="24"/>
          <w:szCs w:val="24"/>
          <w:u w:val="single"/>
        </w:rPr>
      </w:pPr>
      <w:bookmarkStart w:id="14" w:name="_Toc334125696"/>
      <w:r w:rsidRPr="000E045D">
        <w:rPr>
          <w:rFonts w:ascii="Times New Roman" w:hAnsi="Times New Roman" w:cs="Times New Roman"/>
          <w:color w:val="auto"/>
          <w:sz w:val="24"/>
          <w:szCs w:val="24"/>
          <w:u w:val="single"/>
        </w:rPr>
        <w:t>National legal requirements</w:t>
      </w:r>
      <w:bookmarkEnd w:id="14"/>
      <w:r w:rsidRPr="000E045D">
        <w:rPr>
          <w:rFonts w:ascii="Times New Roman" w:hAnsi="Times New Roman" w:cs="Times New Roman"/>
          <w:color w:val="auto"/>
          <w:sz w:val="24"/>
          <w:szCs w:val="24"/>
          <w:u w:val="single"/>
        </w:rPr>
        <w:t xml:space="preserve"> </w:t>
      </w:r>
    </w:p>
    <w:p w14:paraId="5ADB8562" w14:textId="77777777" w:rsidR="00760B45" w:rsidRPr="00925B59" w:rsidRDefault="00760B45" w:rsidP="00760B45">
      <w:pPr>
        <w:pStyle w:val="ListParagraph"/>
        <w:widowControl w:val="0"/>
        <w:autoSpaceDE w:val="0"/>
        <w:autoSpaceDN w:val="0"/>
        <w:adjustRightInd w:val="0"/>
      </w:pPr>
    </w:p>
    <w:p w14:paraId="5BE9ADDD" w14:textId="4BE24376" w:rsidR="00B50427" w:rsidRDefault="003E6336" w:rsidP="00B12B13">
      <w:pPr>
        <w:widowControl w:val="0"/>
        <w:autoSpaceDE w:val="0"/>
        <w:autoSpaceDN w:val="0"/>
        <w:adjustRightInd w:val="0"/>
      </w:pPr>
      <w:r w:rsidRPr="00925B59">
        <w:t xml:space="preserve">The legal requirements for engagement with </w:t>
      </w:r>
      <w:r w:rsidR="00C95A84">
        <w:t>Indigenous</w:t>
      </w:r>
      <w:r w:rsidR="00FC63E1">
        <w:t xml:space="preserve"> Peoples</w:t>
      </w:r>
      <w:r w:rsidR="000071CB" w:rsidRPr="00925B59">
        <w:t xml:space="preserve"> mostly apply </w:t>
      </w:r>
      <w:r w:rsidRPr="00925B59">
        <w:t>to governments</w:t>
      </w:r>
      <w:r w:rsidR="0008230A">
        <w:t>, and are generally prescribed</w:t>
      </w:r>
      <w:r w:rsidR="009F70F5">
        <w:t xml:space="preserve"> by a formal consultation process</w:t>
      </w:r>
      <w:r w:rsidRPr="00925B59">
        <w:t xml:space="preserve">. </w:t>
      </w:r>
      <w:r w:rsidR="00B50427" w:rsidRPr="00925B59">
        <w:t>All of the Arctic states have embraced the</w:t>
      </w:r>
      <w:r w:rsidR="002925AF" w:rsidRPr="00925B59">
        <w:t>ir</w:t>
      </w:r>
      <w:r w:rsidR="00B50427" w:rsidRPr="00925B59">
        <w:t xml:space="preserve"> obligation to consult with </w:t>
      </w:r>
      <w:r w:rsidR="00C95A84">
        <w:t>Indigenous</w:t>
      </w:r>
      <w:r w:rsidR="00FC63E1">
        <w:t xml:space="preserve"> Peoples</w:t>
      </w:r>
      <w:r w:rsidR="00B50427" w:rsidRPr="00925B59">
        <w:t xml:space="preserve">, although each has varying approaches to implementing this requirement. The national legal obligations to </w:t>
      </w:r>
      <w:r w:rsidR="002925AF" w:rsidRPr="00925B59">
        <w:t xml:space="preserve">engage </w:t>
      </w:r>
      <w:r w:rsidR="00C95A84">
        <w:t>Indigenous</w:t>
      </w:r>
      <w:r w:rsidR="00FC63E1">
        <w:t xml:space="preserve"> Peoples</w:t>
      </w:r>
      <w:r w:rsidR="00B50427" w:rsidRPr="00925B59">
        <w:t xml:space="preserve"> come from a variety of authorities.</w:t>
      </w:r>
      <w:r w:rsidR="00B50427" w:rsidRPr="00925B59">
        <w:rPr>
          <w:rStyle w:val="FootnoteReference"/>
        </w:rPr>
        <w:footnoteReference w:id="18"/>
      </w:r>
      <w:r w:rsidR="00B50427" w:rsidRPr="00925B59">
        <w:t xml:space="preserve"> For example, in Russia</w:t>
      </w:r>
      <w:r w:rsidR="00FE7FB5" w:rsidRPr="00925B59">
        <w:t>, Norway</w:t>
      </w:r>
      <w:r w:rsidR="00B50427" w:rsidRPr="00925B59">
        <w:t xml:space="preserve"> and Canada, the requirement for </w:t>
      </w:r>
      <w:r w:rsidR="00C95A84">
        <w:t>Indigenous</w:t>
      </w:r>
      <w:r w:rsidR="00B50427" w:rsidRPr="00925B59">
        <w:t xml:space="preserve"> engagement has constitutional roots.</w:t>
      </w:r>
      <w:r w:rsidR="00B50427" w:rsidRPr="00925B59">
        <w:rPr>
          <w:rStyle w:val="FootnoteReference"/>
        </w:rPr>
        <w:footnoteReference w:id="19"/>
      </w:r>
      <w:r w:rsidR="00B50427" w:rsidRPr="00925B59">
        <w:t xml:space="preserve"> In Norway, Russia, </w:t>
      </w:r>
      <w:r w:rsidR="00362E75">
        <w:t xml:space="preserve">Canada </w:t>
      </w:r>
      <w:r w:rsidR="00B50427" w:rsidRPr="00925B59">
        <w:t>and the U.S., national legislative measures provide for engagement,</w:t>
      </w:r>
      <w:r w:rsidR="00B50427" w:rsidRPr="00925B59">
        <w:rPr>
          <w:rStyle w:val="FootnoteReference"/>
        </w:rPr>
        <w:footnoteReference w:id="20"/>
      </w:r>
      <w:r w:rsidR="00B50427" w:rsidRPr="00925B59">
        <w:t xml:space="preserve"> while additional regional laws also provide for engagement in Russia.</w:t>
      </w:r>
      <w:r w:rsidR="00B50427" w:rsidRPr="00925B59">
        <w:rPr>
          <w:rStyle w:val="FootnoteReference"/>
        </w:rPr>
        <w:footnoteReference w:id="21"/>
      </w:r>
      <w:r w:rsidR="00B50427" w:rsidRPr="00925B59">
        <w:t xml:space="preserve"> In the U.S., consultation is also required by regulations.</w:t>
      </w:r>
      <w:r w:rsidR="00B50427" w:rsidRPr="00925B59">
        <w:rPr>
          <w:rStyle w:val="FootnoteReference"/>
        </w:rPr>
        <w:footnoteReference w:id="22"/>
      </w:r>
      <w:r w:rsidR="00B50427" w:rsidRPr="00925B59">
        <w:t xml:space="preserve"> In Canada, comprehensive land claim agreements </w:t>
      </w:r>
      <w:r w:rsidR="00444F94">
        <w:t xml:space="preserve">and treaties </w:t>
      </w:r>
      <w:r w:rsidR="00B50427" w:rsidRPr="00925B59">
        <w:t xml:space="preserve">between governments and </w:t>
      </w:r>
      <w:r w:rsidR="00C95A84">
        <w:t>Indigenous</w:t>
      </w:r>
      <w:r w:rsidR="00FC63E1">
        <w:t xml:space="preserve"> Peoples</w:t>
      </w:r>
      <w:r w:rsidR="000D0329">
        <w:t xml:space="preserve"> provide the</w:t>
      </w:r>
      <w:r w:rsidR="00904C4A" w:rsidRPr="00925B59">
        <w:t xml:space="preserve"> foundation for </w:t>
      </w:r>
      <w:r w:rsidR="00C95A84">
        <w:t>Indigenous</w:t>
      </w:r>
      <w:r w:rsidR="00904C4A" w:rsidRPr="00925B59">
        <w:t xml:space="preserve"> </w:t>
      </w:r>
      <w:r w:rsidR="00B50427" w:rsidRPr="00925B59">
        <w:t>engagement</w:t>
      </w:r>
      <w:r w:rsidR="00B50427" w:rsidRPr="00925B59">
        <w:rPr>
          <w:rStyle w:val="FootnoteReference"/>
        </w:rPr>
        <w:footnoteReference w:id="23"/>
      </w:r>
      <w:r w:rsidR="00B50427" w:rsidRPr="00925B59">
        <w:t xml:space="preserve"> and judicial decisions are another important legal source of this obligation.</w:t>
      </w:r>
      <w:bookmarkStart w:id="15" w:name="_Ref334001561"/>
      <w:r w:rsidR="00B50427" w:rsidRPr="00925B59">
        <w:rPr>
          <w:rStyle w:val="FootnoteReference"/>
        </w:rPr>
        <w:footnoteReference w:id="24"/>
      </w:r>
      <w:bookmarkEnd w:id="15"/>
      <w:r w:rsidR="009F54CB" w:rsidRPr="00925B59">
        <w:t xml:space="preserve"> Even where national laws protect </w:t>
      </w:r>
      <w:r w:rsidR="00C95A84">
        <w:t>Indigenous</w:t>
      </w:r>
      <w:r w:rsidR="009F54CB" w:rsidRPr="00925B59">
        <w:t xml:space="preserve"> rights</w:t>
      </w:r>
      <w:r w:rsidR="003E7FA6">
        <w:t xml:space="preserve"> and require Indigenous engagement</w:t>
      </w:r>
      <w:r w:rsidR="009F54CB" w:rsidRPr="00925B59">
        <w:t>, however, there may be a significant “implementation gap” between the laws and their effective implementation at the local level.</w:t>
      </w:r>
      <w:r w:rsidR="009F54CB" w:rsidRPr="00925B59">
        <w:rPr>
          <w:rStyle w:val="FootnoteReference"/>
        </w:rPr>
        <w:footnoteReference w:id="25"/>
      </w:r>
      <w:r w:rsidR="0083419D" w:rsidRPr="00925B59">
        <w:t xml:space="preserve"> </w:t>
      </w:r>
      <w:r w:rsidR="003E7FA6">
        <w:t>However, t</w:t>
      </w:r>
      <w:r w:rsidR="00B50427" w:rsidRPr="00925B59">
        <w:t xml:space="preserve">he legal requirements for engagement create an important basis for fostering relationships between </w:t>
      </w:r>
      <w:r w:rsidR="00C95A84">
        <w:t>Indigenous</w:t>
      </w:r>
      <w:r w:rsidR="00FC63E1">
        <w:t xml:space="preserve"> Peoples</w:t>
      </w:r>
      <w:r w:rsidR="0011323F" w:rsidRPr="00925B59">
        <w:t xml:space="preserve"> and government</w:t>
      </w:r>
      <w:r w:rsidR="00B50427" w:rsidRPr="00925B59">
        <w:t>.</w:t>
      </w:r>
      <w:bookmarkStart w:id="16" w:name="_Ref333126369"/>
      <w:r w:rsidR="00B50427" w:rsidRPr="00925B59">
        <w:rPr>
          <w:rStyle w:val="FootnoteReference"/>
        </w:rPr>
        <w:footnoteReference w:id="26"/>
      </w:r>
      <w:bookmarkEnd w:id="16"/>
      <w:r w:rsidR="00B50427" w:rsidRPr="00925B59">
        <w:t xml:space="preserve"> From these legal requirements, governments often create policies detailing how engagement should occur, </w:t>
      </w:r>
      <w:r w:rsidR="00B50427" w:rsidRPr="00925B59">
        <w:lastRenderedPageBreak/>
        <w:t xml:space="preserve">providing a framework and baseline obligation for </w:t>
      </w:r>
      <w:r w:rsidR="00C95A84">
        <w:t>Indigenous</w:t>
      </w:r>
      <w:r w:rsidR="00B50427" w:rsidRPr="00925B59">
        <w:t xml:space="preserve"> engagement.</w:t>
      </w:r>
      <w:bookmarkStart w:id="17" w:name="_Ref334080771"/>
      <w:r w:rsidR="00B50427" w:rsidRPr="00925B59">
        <w:rPr>
          <w:rStyle w:val="FootnoteReference"/>
        </w:rPr>
        <w:footnoteReference w:id="27"/>
      </w:r>
      <w:bookmarkEnd w:id="17"/>
      <w:r w:rsidR="00101077">
        <w:t xml:space="preserve"> The highest levels of government can direct agencies and departments to create these policies.</w:t>
      </w:r>
      <w:r w:rsidR="00101077">
        <w:rPr>
          <w:rStyle w:val="FootnoteReference"/>
        </w:rPr>
        <w:footnoteReference w:id="28"/>
      </w:r>
      <w:r w:rsidR="00101077">
        <w:t xml:space="preserve"> </w:t>
      </w:r>
      <w:r w:rsidR="003E7FA6">
        <w:t>Arctic-specific p</w:t>
      </w:r>
      <w:r w:rsidR="00496A21">
        <w:t>olicies also emphasize the importance of engagement with Indigenous Peoples. For example, the U.S. Implementation Plan for the National Strategy for the Arctic Region identifies consultation and coordination with Alaska Natives as one of its key principles.</w:t>
      </w:r>
      <w:r w:rsidR="00B574C7">
        <w:rPr>
          <w:rStyle w:val="FootnoteReference"/>
        </w:rPr>
        <w:footnoteReference w:id="29"/>
      </w:r>
    </w:p>
    <w:p w14:paraId="74A140B1" w14:textId="77777777" w:rsidR="0017048E" w:rsidRPr="0017048E" w:rsidRDefault="0017048E" w:rsidP="00B12B13">
      <w:pPr>
        <w:widowControl w:val="0"/>
        <w:autoSpaceDE w:val="0"/>
        <w:autoSpaceDN w:val="0"/>
        <w:adjustRightInd w:val="0"/>
      </w:pPr>
    </w:p>
    <w:p w14:paraId="693BBDA9" w14:textId="020B18DC" w:rsidR="0017048E" w:rsidRPr="000E045D" w:rsidRDefault="0017048E" w:rsidP="0017048E">
      <w:pPr>
        <w:pStyle w:val="Heading2"/>
        <w:numPr>
          <w:ilvl w:val="0"/>
          <w:numId w:val="14"/>
        </w:numPr>
        <w:rPr>
          <w:rFonts w:ascii="Times New Roman" w:hAnsi="Times New Roman" w:cs="Times New Roman"/>
          <w:color w:val="auto"/>
          <w:sz w:val="24"/>
          <w:szCs w:val="24"/>
          <w:u w:val="single"/>
        </w:rPr>
      </w:pPr>
      <w:bookmarkStart w:id="18" w:name="_Toc334125697"/>
      <w:r w:rsidRPr="000E045D">
        <w:rPr>
          <w:rFonts w:ascii="Times New Roman" w:hAnsi="Times New Roman" w:cs="Times New Roman"/>
          <w:color w:val="auto"/>
          <w:sz w:val="24"/>
          <w:szCs w:val="24"/>
          <w:u w:val="single"/>
        </w:rPr>
        <w:t xml:space="preserve">International </w:t>
      </w:r>
      <w:r w:rsidR="007264B4" w:rsidRPr="000E045D">
        <w:rPr>
          <w:rFonts w:ascii="Times New Roman" w:hAnsi="Times New Roman" w:cs="Times New Roman"/>
          <w:color w:val="auto"/>
          <w:sz w:val="24"/>
          <w:szCs w:val="24"/>
          <w:u w:val="single"/>
        </w:rPr>
        <w:t>r</w:t>
      </w:r>
      <w:r w:rsidRPr="000E045D">
        <w:rPr>
          <w:rFonts w:ascii="Times New Roman" w:hAnsi="Times New Roman" w:cs="Times New Roman"/>
          <w:color w:val="auto"/>
          <w:sz w:val="24"/>
          <w:szCs w:val="24"/>
          <w:u w:val="single"/>
        </w:rPr>
        <w:t>equirements</w:t>
      </w:r>
      <w:bookmarkEnd w:id="18"/>
    </w:p>
    <w:p w14:paraId="4E86BB08" w14:textId="77777777" w:rsidR="00760B45" w:rsidRPr="00925B59" w:rsidRDefault="00760B45" w:rsidP="00760B45">
      <w:pPr>
        <w:pStyle w:val="ListParagraph"/>
        <w:widowControl w:val="0"/>
        <w:autoSpaceDE w:val="0"/>
        <w:autoSpaceDN w:val="0"/>
        <w:adjustRightInd w:val="0"/>
      </w:pPr>
    </w:p>
    <w:p w14:paraId="1435F737" w14:textId="5DC3DEC8" w:rsidR="00B50427" w:rsidRPr="00925B59" w:rsidRDefault="001659A1" w:rsidP="00B12B13">
      <w:pPr>
        <w:widowControl w:val="0"/>
        <w:autoSpaceDE w:val="0"/>
        <w:autoSpaceDN w:val="0"/>
        <w:adjustRightInd w:val="0"/>
      </w:pPr>
      <w:r w:rsidRPr="00925B59">
        <w:t>Internationally, the standards for government engagement</w:t>
      </w:r>
      <w:r w:rsidR="00B50427" w:rsidRPr="00925B59">
        <w:t xml:space="preserve"> with </w:t>
      </w:r>
      <w:r w:rsidR="00C95A84">
        <w:t>Indigenous</w:t>
      </w:r>
      <w:r w:rsidR="00FC63E1">
        <w:t xml:space="preserve"> Peoples</w:t>
      </w:r>
      <w:r w:rsidR="00B50427" w:rsidRPr="00925B59">
        <w:t xml:space="preserve"> comes from various sources, including international </w:t>
      </w:r>
      <w:r w:rsidRPr="00925B59">
        <w:t>instruments</w:t>
      </w:r>
      <w:r w:rsidR="00B50427" w:rsidRPr="00925B59">
        <w:t xml:space="preserve"> such as the United Nations Declaration on the Rights of </w:t>
      </w:r>
      <w:r w:rsidR="00C95A84">
        <w:t>Indigenous</w:t>
      </w:r>
      <w:r w:rsidR="00B50427" w:rsidRPr="00925B59">
        <w:t xml:space="preserve"> People (UNDRIP),</w:t>
      </w:r>
      <w:r w:rsidR="00B50427" w:rsidRPr="00925B59">
        <w:rPr>
          <w:rStyle w:val="FootnoteReference"/>
        </w:rPr>
        <w:footnoteReference w:id="30"/>
      </w:r>
      <w:r w:rsidR="00B50427" w:rsidRPr="00925B59">
        <w:t xml:space="preserve"> the International </w:t>
      </w:r>
      <w:r w:rsidR="00E47124" w:rsidRPr="00925B59">
        <w:t>Labour</w:t>
      </w:r>
      <w:r w:rsidR="00B50427" w:rsidRPr="00925B59">
        <w:t xml:space="preserve"> Organization’s </w:t>
      </w:r>
      <w:r w:rsidR="00C95A84">
        <w:t>Indigenous</w:t>
      </w:r>
      <w:r w:rsidR="00B50427" w:rsidRPr="00925B59">
        <w:t xml:space="preserve"> and Tribal Peoples’ Conven</w:t>
      </w:r>
      <w:r w:rsidR="003E519D">
        <w:t>tion (ILO N</w:t>
      </w:r>
      <w:r w:rsidR="00B50427" w:rsidRPr="00925B59">
        <w:t>o. 169),</w:t>
      </w:r>
      <w:r w:rsidR="00B50427" w:rsidRPr="00925B59">
        <w:rPr>
          <w:rStyle w:val="FootnoteReference"/>
        </w:rPr>
        <w:footnoteReference w:id="31"/>
      </w:r>
      <w:r w:rsidR="00B50427" w:rsidRPr="00925B59">
        <w:t xml:space="preserve"> the U</w:t>
      </w:r>
      <w:r w:rsidR="00A26D3D">
        <w:t xml:space="preserve">nited </w:t>
      </w:r>
      <w:r w:rsidR="00B50427" w:rsidRPr="00925B59">
        <w:t>N</w:t>
      </w:r>
      <w:r w:rsidR="00A26D3D">
        <w:t>ations</w:t>
      </w:r>
      <w:r w:rsidR="00B50427" w:rsidRPr="00925B59">
        <w:t xml:space="preserve"> Convention on Biological Diversity,</w:t>
      </w:r>
      <w:r w:rsidR="00B50427" w:rsidRPr="00925B59">
        <w:rPr>
          <w:rStyle w:val="FootnoteReference"/>
        </w:rPr>
        <w:footnoteReference w:id="32"/>
      </w:r>
      <w:r w:rsidR="00B50427" w:rsidRPr="00925B59">
        <w:t xml:space="preserve"> </w:t>
      </w:r>
      <w:r w:rsidR="00B83E65" w:rsidRPr="00925B59">
        <w:t>Agenda 21,</w:t>
      </w:r>
      <w:r w:rsidR="00B83E65" w:rsidRPr="00925B59">
        <w:rPr>
          <w:rStyle w:val="FootnoteReference"/>
        </w:rPr>
        <w:footnoteReference w:id="33"/>
      </w:r>
      <w:r w:rsidR="00B83E65" w:rsidRPr="00925B59">
        <w:t xml:space="preserve"> </w:t>
      </w:r>
      <w:r w:rsidR="00B50427" w:rsidRPr="00925B59">
        <w:t>and decisions by international tribunals.</w:t>
      </w:r>
      <w:r w:rsidR="00B50427" w:rsidRPr="00925B59">
        <w:rPr>
          <w:rStyle w:val="FootnoteReference"/>
        </w:rPr>
        <w:footnoteReference w:id="34"/>
      </w:r>
      <w:r w:rsidR="00B50427" w:rsidRPr="00925B59">
        <w:t xml:space="preserve"> </w:t>
      </w:r>
      <w:r w:rsidR="003A51C3" w:rsidRPr="00925B59">
        <w:t>Regionally, the Arctic Council has provided vari</w:t>
      </w:r>
      <w:r w:rsidR="002D3E70" w:rsidRPr="00925B59">
        <w:t xml:space="preserve">ous recommendations for </w:t>
      </w:r>
      <w:r w:rsidR="00C95A84">
        <w:t>Indigenous</w:t>
      </w:r>
      <w:r w:rsidR="002D3E70" w:rsidRPr="00925B59">
        <w:t xml:space="preserve"> engagement by Arctic s</w:t>
      </w:r>
      <w:r w:rsidR="003A51C3" w:rsidRPr="00925B59">
        <w:t>tates</w:t>
      </w:r>
      <w:r w:rsidR="002D3E70" w:rsidRPr="00925B59">
        <w:t>.</w:t>
      </w:r>
      <w:r w:rsidR="003A51C3" w:rsidRPr="00925B59">
        <w:rPr>
          <w:rStyle w:val="FootnoteReference"/>
        </w:rPr>
        <w:footnoteReference w:id="35"/>
      </w:r>
      <w:r w:rsidR="003A51C3" w:rsidRPr="00925B59">
        <w:t xml:space="preserve"> </w:t>
      </w:r>
      <w:r w:rsidR="00B50427" w:rsidRPr="00925B59">
        <w:t xml:space="preserve">The obligation </w:t>
      </w:r>
      <w:r w:rsidR="0069678E" w:rsidRPr="00925B59">
        <w:t xml:space="preserve">of governments </w:t>
      </w:r>
      <w:r w:rsidR="00B50427" w:rsidRPr="00925B59">
        <w:t xml:space="preserve">to consult </w:t>
      </w:r>
      <w:r w:rsidR="0069678E" w:rsidRPr="00925B59">
        <w:t xml:space="preserve">with </w:t>
      </w:r>
      <w:r w:rsidR="00C95A84">
        <w:t>Indigenous</w:t>
      </w:r>
      <w:r w:rsidR="00FC63E1">
        <w:t xml:space="preserve"> Peoples</w:t>
      </w:r>
      <w:r w:rsidR="0069678E" w:rsidRPr="00925B59">
        <w:t xml:space="preserve"> </w:t>
      </w:r>
      <w:r w:rsidR="00B50427" w:rsidRPr="00925B59">
        <w:t>is widely considered customary international law and a general principle of international law.</w:t>
      </w:r>
      <w:bookmarkStart w:id="19" w:name="_Ref334080664"/>
      <w:r w:rsidR="00B50427" w:rsidRPr="00925B59">
        <w:rPr>
          <w:rStyle w:val="FootnoteReference"/>
        </w:rPr>
        <w:footnoteReference w:id="36"/>
      </w:r>
      <w:bookmarkEnd w:id="19"/>
    </w:p>
    <w:p w14:paraId="7559C1CF" w14:textId="77777777" w:rsidR="00B50427" w:rsidRPr="0017048E" w:rsidRDefault="00B50427" w:rsidP="00B12B13">
      <w:pPr>
        <w:widowControl w:val="0"/>
        <w:autoSpaceDE w:val="0"/>
        <w:autoSpaceDN w:val="0"/>
        <w:adjustRightInd w:val="0"/>
      </w:pPr>
    </w:p>
    <w:p w14:paraId="1B06ACC2" w14:textId="7CA17E9E" w:rsidR="00760B45" w:rsidRPr="000E045D" w:rsidRDefault="00760B45" w:rsidP="0017048E">
      <w:pPr>
        <w:pStyle w:val="Heading2"/>
        <w:numPr>
          <w:ilvl w:val="0"/>
          <w:numId w:val="14"/>
        </w:numPr>
        <w:rPr>
          <w:rFonts w:ascii="Times New Roman" w:hAnsi="Times New Roman" w:cs="Times New Roman"/>
          <w:sz w:val="24"/>
          <w:szCs w:val="24"/>
          <w:u w:val="single"/>
        </w:rPr>
      </w:pPr>
      <w:bookmarkStart w:id="20" w:name="_Toc334125698"/>
      <w:r w:rsidRPr="000E045D">
        <w:rPr>
          <w:rFonts w:ascii="Times New Roman" w:hAnsi="Times New Roman" w:cs="Times New Roman"/>
          <w:color w:val="auto"/>
          <w:sz w:val="24"/>
          <w:szCs w:val="24"/>
          <w:u w:val="single"/>
        </w:rPr>
        <w:t>The obligations for companies</w:t>
      </w:r>
      <w:bookmarkEnd w:id="20"/>
    </w:p>
    <w:p w14:paraId="6A1E5B6D" w14:textId="77777777" w:rsidR="00760B45" w:rsidRPr="00925B59" w:rsidRDefault="00760B45" w:rsidP="00760B45">
      <w:pPr>
        <w:pStyle w:val="ListParagraph"/>
        <w:widowControl w:val="0"/>
        <w:autoSpaceDE w:val="0"/>
        <w:autoSpaceDN w:val="0"/>
        <w:adjustRightInd w:val="0"/>
      </w:pPr>
    </w:p>
    <w:p w14:paraId="2B246FAD" w14:textId="3FF89463" w:rsidR="00925AF9" w:rsidRPr="00925B59" w:rsidRDefault="00EB2B1F" w:rsidP="00925AF9">
      <w:pPr>
        <w:widowControl w:val="0"/>
        <w:autoSpaceDE w:val="0"/>
        <w:autoSpaceDN w:val="0"/>
        <w:adjustRightInd w:val="0"/>
      </w:pPr>
      <w:r>
        <w:t xml:space="preserve">Some governments place obligations on companies to participate in formal consultation. </w:t>
      </w:r>
      <w:r w:rsidR="00B50427" w:rsidRPr="00925B59">
        <w:t>Companies</w:t>
      </w:r>
      <w:r w:rsidR="00760B45">
        <w:t>, while obligated to comply with national laws, also</w:t>
      </w:r>
      <w:r w:rsidR="00B50427" w:rsidRPr="00925B59">
        <w:t xml:space="preserve"> have an independent obligation to ensure their activities comport with human rights obligations, including </w:t>
      </w:r>
      <w:r w:rsidR="00C95A84">
        <w:t>Indigenous</w:t>
      </w:r>
      <w:r w:rsidR="00B50427" w:rsidRPr="00925B59">
        <w:t xml:space="preserve"> human rights.</w:t>
      </w:r>
      <w:bookmarkStart w:id="21" w:name="_Ref334084681"/>
      <w:r w:rsidR="00B50427" w:rsidRPr="00925B59">
        <w:rPr>
          <w:rStyle w:val="FootnoteReference"/>
        </w:rPr>
        <w:footnoteReference w:id="37"/>
      </w:r>
      <w:bookmarkEnd w:id="21"/>
      <w:r w:rsidR="00B50427" w:rsidRPr="00925B59">
        <w:t xml:space="preserve"> </w:t>
      </w:r>
      <w:r w:rsidR="00B47A12" w:rsidRPr="00925B59">
        <w:t>I</w:t>
      </w:r>
      <w:r w:rsidR="00925AF9" w:rsidRPr="00925B59">
        <w:t xml:space="preserve">n addition to the international legal </w:t>
      </w:r>
      <w:r w:rsidR="00735EEC" w:rsidRPr="00925B59">
        <w:t>standards</w:t>
      </w:r>
      <w:r w:rsidR="00925AF9" w:rsidRPr="00925B59">
        <w:t xml:space="preserve">, various other regional and international </w:t>
      </w:r>
      <w:r w:rsidR="00E47124" w:rsidRPr="00925B59">
        <w:t>organizations and instruments</w:t>
      </w:r>
      <w:r w:rsidR="00925AF9" w:rsidRPr="00925B59">
        <w:t xml:space="preserve"> set out societal expectations for corporate behavior with respect to human rights</w:t>
      </w:r>
      <w:r w:rsidR="00925AF9" w:rsidRPr="00925B59">
        <w:rPr>
          <w:rStyle w:val="FootnoteReference"/>
        </w:rPr>
        <w:footnoteReference w:id="38"/>
      </w:r>
      <w:r w:rsidR="00925AF9" w:rsidRPr="00925B59">
        <w:t xml:space="preserve"> such as the </w:t>
      </w:r>
      <w:r w:rsidR="00C83A0E" w:rsidRPr="00925B59">
        <w:t>Arctic Council,</w:t>
      </w:r>
      <w:bookmarkStart w:id="22" w:name="_Ref334082904"/>
      <w:r w:rsidR="00C83A0E" w:rsidRPr="00925B59">
        <w:rPr>
          <w:rStyle w:val="FootnoteReference"/>
          <w:rFonts w:eastAsia="Times New Roman"/>
          <w:color w:val="000000"/>
          <w:lang w:val="en-US"/>
        </w:rPr>
        <w:footnoteReference w:id="39"/>
      </w:r>
      <w:bookmarkEnd w:id="22"/>
      <w:r w:rsidR="00C83A0E" w:rsidRPr="00925B59">
        <w:t xml:space="preserve"> </w:t>
      </w:r>
      <w:r w:rsidR="00925AF9" w:rsidRPr="00925B59">
        <w:t>Northern Forum,</w:t>
      </w:r>
      <w:r w:rsidR="00925AF9" w:rsidRPr="00925B59">
        <w:rPr>
          <w:rStyle w:val="FootnoteReference"/>
        </w:rPr>
        <w:footnoteReference w:id="40"/>
      </w:r>
      <w:r w:rsidR="00925AF9" w:rsidRPr="00925B59">
        <w:t xml:space="preserve"> the UN Global Compact,</w:t>
      </w:r>
      <w:bookmarkStart w:id="23" w:name="_Ref334080159"/>
      <w:r w:rsidR="00925AF9" w:rsidRPr="00925B59">
        <w:rPr>
          <w:rStyle w:val="FootnoteReference"/>
        </w:rPr>
        <w:footnoteReference w:id="41"/>
      </w:r>
      <w:bookmarkEnd w:id="23"/>
      <w:r w:rsidR="00925AF9" w:rsidRPr="00925B59">
        <w:t xml:space="preserve"> the </w:t>
      </w:r>
      <w:r w:rsidR="00925AF9" w:rsidRPr="00925B59">
        <w:lastRenderedPageBreak/>
        <w:t>UN Guiding Principles for Business and Human Rights,</w:t>
      </w:r>
      <w:r w:rsidR="00925AF9" w:rsidRPr="00925B59">
        <w:rPr>
          <w:rStyle w:val="FootnoteReference"/>
        </w:rPr>
        <w:footnoteReference w:id="42"/>
      </w:r>
      <w:r w:rsidR="00925AF9" w:rsidRPr="00925B59">
        <w:t xml:space="preserve"> and the </w:t>
      </w:r>
      <w:r w:rsidR="00860F5C">
        <w:t>Organization for Economic Cooperation and Development (</w:t>
      </w:r>
      <w:r w:rsidR="00925AF9" w:rsidRPr="00925B59">
        <w:t>OECD</w:t>
      </w:r>
      <w:r w:rsidR="00860F5C">
        <w:t>)</w:t>
      </w:r>
      <w:r w:rsidR="00925AF9" w:rsidRPr="00925B59">
        <w:t xml:space="preserve"> Guidelines for Multi-National Enterprises.</w:t>
      </w:r>
      <w:r w:rsidR="00925AF9" w:rsidRPr="00925B59">
        <w:rPr>
          <w:rStyle w:val="FootnoteReference"/>
        </w:rPr>
        <w:footnoteReference w:id="43"/>
      </w:r>
      <w:r w:rsidR="00925AF9" w:rsidRPr="00925B59">
        <w:t xml:space="preserve"> </w:t>
      </w:r>
      <w:r w:rsidR="000071CB" w:rsidRPr="00925B59">
        <w:t>Some national</w:t>
      </w:r>
      <w:r w:rsidR="00884D2B" w:rsidRPr="00925B59">
        <w:t xml:space="preserve"> or regional</w:t>
      </w:r>
      <w:r w:rsidR="000071CB" w:rsidRPr="00925B59">
        <w:t xml:space="preserve"> laws and policies also impose an obligation on corporation</w:t>
      </w:r>
      <w:r w:rsidR="00C31ADD">
        <w:t>s</w:t>
      </w:r>
      <w:r w:rsidR="000071CB" w:rsidRPr="00925B59">
        <w:t xml:space="preserve"> to engage with </w:t>
      </w:r>
      <w:r w:rsidR="00C95A84">
        <w:t>Indigenous</w:t>
      </w:r>
      <w:r w:rsidR="00FC63E1">
        <w:t xml:space="preserve"> Peoples</w:t>
      </w:r>
      <w:r w:rsidR="000071CB" w:rsidRPr="00925B59">
        <w:t>.</w:t>
      </w:r>
      <w:bookmarkStart w:id="24" w:name="_Ref334084615"/>
      <w:r w:rsidR="000071CB" w:rsidRPr="00925B59">
        <w:rPr>
          <w:rStyle w:val="FootnoteReference"/>
        </w:rPr>
        <w:footnoteReference w:id="44"/>
      </w:r>
      <w:bookmarkEnd w:id="24"/>
    </w:p>
    <w:p w14:paraId="2C323E7E" w14:textId="77777777" w:rsidR="00925AF9" w:rsidRPr="00925B59" w:rsidRDefault="00925AF9" w:rsidP="00925AF9">
      <w:pPr>
        <w:widowControl w:val="0"/>
        <w:autoSpaceDE w:val="0"/>
        <w:autoSpaceDN w:val="0"/>
        <w:adjustRightInd w:val="0"/>
      </w:pPr>
    </w:p>
    <w:p w14:paraId="13635B46" w14:textId="2D22B441" w:rsidR="00B50427" w:rsidRPr="00925B59" w:rsidRDefault="004F6975" w:rsidP="00925AF9">
      <w:pPr>
        <w:widowControl w:val="0"/>
        <w:autoSpaceDE w:val="0"/>
        <w:autoSpaceDN w:val="0"/>
        <w:adjustRightInd w:val="0"/>
        <w:spacing w:after="240"/>
      </w:pPr>
      <w:r w:rsidRPr="00925B59">
        <w:t>Many c</w:t>
      </w:r>
      <w:r w:rsidR="00925AF9" w:rsidRPr="00925B59">
        <w:t>ompanies recognize t</w:t>
      </w:r>
      <w:r w:rsidR="004B5F85" w:rsidRPr="00925B59">
        <w:t>hat communities may</w:t>
      </w:r>
      <w:r w:rsidR="00925AF9" w:rsidRPr="00925B59">
        <w:t xml:space="preserve"> not accept compliance with legal requirements as sufficient, and that further work by the company is required to ensure that projects have a broad, ongoing approval and acceptance.</w:t>
      </w:r>
      <w:bookmarkStart w:id="25" w:name="_Ref334083020"/>
      <w:r w:rsidR="00925AF9" w:rsidRPr="00925B59">
        <w:rPr>
          <w:rStyle w:val="FootnoteReference"/>
        </w:rPr>
        <w:footnoteReference w:id="45"/>
      </w:r>
      <w:bookmarkEnd w:id="25"/>
      <w:r w:rsidR="00925AF9" w:rsidRPr="00925B59">
        <w:t xml:space="preserve"> Companies may therefore be required </w:t>
      </w:r>
      <w:r w:rsidR="00B50427" w:rsidRPr="00925B59">
        <w:t>to “fill in the gaps” identified in governmental processes.</w:t>
      </w:r>
      <w:r w:rsidR="00B50427" w:rsidRPr="00925B59">
        <w:rPr>
          <w:rStyle w:val="FootnoteReference"/>
        </w:rPr>
        <w:footnoteReference w:id="46"/>
      </w:r>
      <w:r w:rsidR="00C81250" w:rsidRPr="00925B59">
        <w:t xml:space="preserve"> </w:t>
      </w:r>
      <w:r w:rsidR="00562689" w:rsidRPr="00925B59">
        <w:t xml:space="preserve">The most effective way to do this is for </w:t>
      </w:r>
      <w:r w:rsidR="00D86A8F">
        <w:t>outsider entities</w:t>
      </w:r>
      <w:r w:rsidR="00562689" w:rsidRPr="00925B59">
        <w:t xml:space="preserve"> to ascertain the potentially affected </w:t>
      </w:r>
      <w:r w:rsidR="00C95A84">
        <w:t>Indigenous</w:t>
      </w:r>
      <w:r w:rsidR="00FC63E1">
        <w:t xml:space="preserve"> Peoples</w:t>
      </w:r>
      <w:r w:rsidR="00562689" w:rsidRPr="00925B59">
        <w:t xml:space="preserve">’ expectations for </w:t>
      </w:r>
      <w:r w:rsidR="00445803">
        <w:t>engagement</w:t>
      </w:r>
      <w:r w:rsidR="00905323">
        <w:t xml:space="preserve"> and </w:t>
      </w:r>
      <w:r w:rsidR="00665B66">
        <w:t>consultation</w:t>
      </w:r>
      <w:r w:rsidR="00A45AC9">
        <w:t xml:space="preserve">, including </w:t>
      </w:r>
      <w:r w:rsidR="00B555DB">
        <w:t>potential Acce</w:t>
      </w:r>
      <w:r w:rsidR="00EE63B5">
        <w:t>ss and Benefit Agreements</w:t>
      </w:r>
      <w:r w:rsidR="00C81250" w:rsidRPr="00925B59">
        <w:rPr>
          <w:lang w:val="en-US"/>
        </w:rPr>
        <w:t>.</w:t>
      </w:r>
      <w:bookmarkStart w:id="26" w:name="_Ref333999948"/>
      <w:r w:rsidR="00C81250" w:rsidRPr="00925B59">
        <w:rPr>
          <w:rStyle w:val="FootnoteReference"/>
          <w:lang w:val="en-US"/>
        </w:rPr>
        <w:footnoteReference w:id="47"/>
      </w:r>
      <w:bookmarkEnd w:id="26"/>
    </w:p>
    <w:p w14:paraId="65239DE2" w14:textId="24A82AFD" w:rsidR="00B50427" w:rsidRPr="00925B59" w:rsidRDefault="006F325E" w:rsidP="00B12B13">
      <w:r>
        <w:t>In many industries, engagement</w:t>
      </w:r>
      <w:r w:rsidR="00B50427" w:rsidRPr="00925B59">
        <w:t xml:space="preserve"> is a standard practice, incorporating legal and societal expectations. </w:t>
      </w:r>
      <w:r w:rsidR="00EF04B5">
        <w:t>Such engagement is</w:t>
      </w:r>
      <w:r w:rsidR="00B50427" w:rsidRPr="00925B59">
        <w:t xml:space="preserve"> often a part of corporate soc</w:t>
      </w:r>
      <w:r w:rsidR="00F950D9">
        <w:t>ial responsibility (CSR) through which companies</w:t>
      </w:r>
      <w:r w:rsidR="00B50427" w:rsidRPr="00925B59">
        <w:t xml:space="preserve"> seek to achieve a “social license to operate.” The process has emerged out of a response to </w:t>
      </w:r>
      <w:r w:rsidR="00C95A84">
        <w:t>Indigenous</w:t>
      </w:r>
      <w:r w:rsidR="00B50427" w:rsidRPr="00925B59">
        <w:t xml:space="preserve"> community demands that companies behave within the community’s “well-set political, social, economic, traditional, and cultural space.”</w:t>
      </w:r>
      <w:r w:rsidR="00B50427" w:rsidRPr="00925B59">
        <w:rPr>
          <w:rStyle w:val="FootnoteReference"/>
        </w:rPr>
        <w:t xml:space="preserve"> </w:t>
      </w:r>
      <w:r w:rsidR="00B50427" w:rsidRPr="00925B59">
        <w:rPr>
          <w:rStyle w:val="FootnoteReference"/>
        </w:rPr>
        <w:footnoteReference w:id="48"/>
      </w:r>
      <w:r w:rsidR="00B50427" w:rsidRPr="00925B59">
        <w:t xml:space="preserve"> </w:t>
      </w:r>
      <w:r w:rsidR="00A45AC9">
        <w:t>As a result CSR-driven engagement can be</w:t>
      </w:r>
      <w:r w:rsidR="00B50427" w:rsidRPr="00925B59">
        <w:t xml:space="preserve"> more meaningful than </w:t>
      </w:r>
      <w:r w:rsidR="00F950D9">
        <w:t xml:space="preserve">formal </w:t>
      </w:r>
      <w:r w:rsidR="00B50427" w:rsidRPr="00925B59">
        <w:t xml:space="preserve">consultation required by law. </w:t>
      </w:r>
    </w:p>
    <w:p w14:paraId="226CD6BF" w14:textId="77777777" w:rsidR="00B50427" w:rsidRPr="00925B59" w:rsidRDefault="00B50427" w:rsidP="00B12B13"/>
    <w:p w14:paraId="44772997" w14:textId="2369E105" w:rsidR="00B50427" w:rsidRPr="00925B59" w:rsidRDefault="006B2ECA" w:rsidP="00B12B13">
      <w:pPr>
        <w:widowControl w:val="0"/>
        <w:autoSpaceDE w:val="0"/>
        <w:autoSpaceDN w:val="0"/>
        <w:adjustRightInd w:val="0"/>
      </w:pPr>
      <w:r w:rsidRPr="00925B59">
        <w:t xml:space="preserve">These corporate commitments are often identified in </w:t>
      </w:r>
      <w:r w:rsidR="00C95A84">
        <w:t>Indigenous</w:t>
      </w:r>
      <w:r w:rsidR="00822AC5" w:rsidRPr="00925B59">
        <w:t xml:space="preserve"> engagement policies</w:t>
      </w:r>
      <w:r w:rsidR="00B50427" w:rsidRPr="00925B59">
        <w:t>.</w:t>
      </w:r>
      <w:r w:rsidR="00B50427" w:rsidRPr="00925B59">
        <w:rPr>
          <w:rStyle w:val="FootnoteReference"/>
        </w:rPr>
        <w:footnoteReference w:id="49"/>
      </w:r>
      <w:r w:rsidR="00B50427" w:rsidRPr="00925B59">
        <w:t xml:space="preserve"> This </w:t>
      </w:r>
      <w:r w:rsidR="00972BA4">
        <w:t xml:space="preserve">type of </w:t>
      </w:r>
      <w:r w:rsidR="00B50427" w:rsidRPr="00925B59">
        <w:t xml:space="preserve">policy is a way of embedding a commitment to respect human rights, including </w:t>
      </w:r>
      <w:r w:rsidR="00C95A84">
        <w:t>Indigenous</w:t>
      </w:r>
      <w:r w:rsidR="00B50427" w:rsidRPr="00925B59">
        <w:t xml:space="preserve"> engagement, “from the top of the business enterprise through all of its functions.”</w:t>
      </w:r>
      <w:r w:rsidR="00B50427" w:rsidRPr="00925B59">
        <w:rPr>
          <w:rStyle w:val="FootnoteReference"/>
        </w:rPr>
        <w:footnoteReference w:id="50"/>
      </w:r>
      <w:r w:rsidRPr="00925B59">
        <w:t xml:space="preserve"> The policy will typically</w:t>
      </w:r>
      <w:r w:rsidR="00B50427" w:rsidRPr="00925B59">
        <w:t xml:space="preserve"> articulate a minimum standard that the company will meet, even if </w:t>
      </w:r>
      <w:r w:rsidR="00B50427" w:rsidRPr="00925B59">
        <w:lastRenderedPageBreak/>
        <w:t xml:space="preserve">national law does not require it.” </w:t>
      </w:r>
      <w:r w:rsidR="00B50427" w:rsidRPr="00925B59">
        <w:rPr>
          <w:rStyle w:val="FootnoteReference"/>
        </w:rPr>
        <w:footnoteReference w:id="51"/>
      </w:r>
      <w:r w:rsidR="00B50427" w:rsidRPr="00925B59">
        <w:t xml:space="preserve"> The policy commitment </w:t>
      </w:r>
      <w:r w:rsidRPr="00925B59">
        <w:t>is most meaningful when it is</w:t>
      </w:r>
      <w:r w:rsidR="00B50427" w:rsidRPr="00925B59">
        <w:t xml:space="preserve"> approve</w:t>
      </w:r>
      <w:r w:rsidRPr="00925B59">
        <w:t xml:space="preserve">d at the highest level, </w:t>
      </w:r>
      <w:r w:rsidR="00B50427" w:rsidRPr="00925B59">
        <w:t>well informed, clearly elucidate</w:t>
      </w:r>
      <w:r w:rsidRPr="00925B59">
        <w:t>s expectations, is publicly available and is</w:t>
      </w:r>
      <w:r w:rsidR="00B50427" w:rsidRPr="00925B59">
        <w:t xml:space="preserve"> reflected in operational policies and procedures.</w:t>
      </w:r>
      <w:r w:rsidR="00B50427" w:rsidRPr="00925B59">
        <w:rPr>
          <w:rStyle w:val="FootnoteReference"/>
        </w:rPr>
        <w:footnoteReference w:id="52"/>
      </w:r>
      <w:r w:rsidR="00B50427" w:rsidRPr="00925B59">
        <w:t xml:space="preserve"> </w:t>
      </w:r>
    </w:p>
    <w:p w14:paraId="601B7C9F" w14:textId="77777777" w:rsidR="008D78B0" w:rsidRDefault="008D78B0" w:rsidP="00B12B13">
      <w:pPr>
        <w:widowControl w:val="0"/>
        <w:autoSpaceDE w:val="0"/>
        <w:autoSpaceDN w:val="0"/>
        <w:adjustRightInd w:val="0"/>
      </w:pPr>
    </w:p>
    <w:p w14:paraId="57319431" w14:textId="3331490E" w:rsidR="00FE1683" w:rsidRPr="000E045D" w:rsidRDefault="002D138A" w:rsidP="00C47393">
      <w:pPr>
        <w:pStyle w:val="Heading2"/>
        <w:numPr>
          <w:ilvl w:val="0"/>
          <w:numId w:val="14"/>
        </w:numPr>
        <w:rPr>
          <w:rFonts w:ascii="Times New Roman" w:hAnsi="Times New Roman" w:cs="Times New Roman"/>
          <w:color w:val="auto"/>
          <w:sz w:val="24"/>
          <w:szCs w:val="24"/>
          <w:u w:val="single"/>
        </w:rPr>
      </w:pPr>
      <w:bookmarkStart w:id="27" w:name="_Toc334125699"/>
      <w:r w:rsidRPr="000E045D">
        <w:rPr>
          <w:rFonts w:ascii="Times New Roman" w:hAnsi="Times New Roman" w:cs="Times New Roman"/>
          <w:color w:val="auto"/>
          <w:sz w:val="24"/>
          <w:szCs w:val="24"/>
          <w:u w:val="single"/>
        </w:rPr>
        <w:t>R</w:t>
      </w:r>
      <w:r w:rsidR="00FE1683" w:rsidRPr="000E045D">
        <w:rPr>
          <w:rFonts w:ascii="Times New Roman" w:hAnsi="Times New Roman" w:cs="Times New Roman"/>
          <w:color w:val="auto"/>
          <w:sz w:val="24"/>
          <w:szCs w:val="24"/>
          <w:u w:val="single"/>
        </w:rPr>
        <w:t>esearchers, NGOs, financial institutions</w:t>
      </w:r>
      <w:r w:rsidR="00937907" w:rsidRPr="000E045D">
        <w:rPr>
          <w:rFonts w:ascii="Times New Roman" w:hAnsi="Times New Roman" w:cs="Times New Roman"/>
          <w:color w:val="auto"/>
          <w:sz w:val="24"/>
          <w:szCs w:val="24"/>
          <w:u w:val="single"/>
        </w:rPr>
        <w:t>,</w:t>
      </w:r>
      <w:r w:rsidR="00FE1683" w:rsidRPr="000E045D">
        <w:rPr>
          <w:rFonts w:ascii="Times New Roman" w:hAnsi="Times New Roman" w:cs="Times New Roman"/>
          <w:color w:val="auto"/>
          <w:sz w:val="24"/>
          <w:szCs w:val="24"/>
          <w:u w:val="single"/>
        </w:rPr>
        <w:t xml:space="preserve"> and development organizations</w:t>
      </w:r>
      <w:bookmarkEnd w:id="27"/>
    </w:p>
    <w:p w14:paraId="240EF066" w14:textId="77777777" w:rsidR="00FE1683" w:rsidRPr="00925B59" w:rsidRDefault="00FE1683" w:rsidP="00FE1683">
      <w:pPr>
        <w:pStyle w:val="ListParagraph"/>
        <w:widowControl w:val="0"/>
        <w:autoSpaceDE w:val="0"/>
        <w:autoSpaceDN w:val="0"/>
        <w:adjustRightInd w:val="0"/>
      </w:pPr>
    </w:p>
    <w:p w14:paraId="08C4D160" w14:textId="4D3E5B14" w:rsidR="00B542C4" w:rsidRDefault="00D526BD" w:rsidP="00B12B13">
      <w:pPr>
        <w:widowControl w:val="0"/>
        <w:autoSpaceDE w:val="0"/>
        <w:autoSpaceDN w:val="0"/>
        <w:adjustRightInd w:val="0"/>
      </w:pPr>
      <w:r w:rsidRPr="00925B59">
        <w:t xml:space="preserve">Although </w:t>
      </w:r>
      <w:r w:rsidR="00D93493" w:rsidRPr="00925B59">
        <w:t xml:space="preserve">existing laws, policies, and procedures </w:t>
      </w:r>
      <w:r w:rsidRPr="00925B59">
        <w:t>are pr</w:t>
      </w:r>
      <w:r w:rsidR="00D93493" w:rsidRPr="00925B59">
        <w:t xml:space="preserve">imarily focused on engagement between </w:t>
      </w:r>
      <w:r w:rsidR="00C95A84">
        <w:t>Indigenous</w:t>
      </w:r>
      <w:r w:rsidR="00FC63E1">
        <w:t xml:space="preserve"> Peoples</w:t>
      </w:r>
      <w:r w:rsidR="00D93493" w:rsidRPr="00925B59">
        <w:t xml:space="preserve"> and</w:t>
      </w:r>
      <w:r w:rsidRPr="00925B59">
        <w:t xml:space="preserve"> governments and</w:t>
      </w:r>
      <w:r w:rsidR="000B439B">
        <w:t>/or</w:t>
      </w:r>
      <w:r w:rsidRPr="00925B59">
        <w:t xml:space="preserve"> </w:t>
      </w:r>
      <w:r w:rsidR="000B26FB">
        <w:t>companies</w:t>
      </w:r>
      <w:r w:rsidRPr="00925B59">
        <w:t xml:space="preserve">, guidance also exists for </w:t>
      </w:r>
      <w:r w:rsidR="00336C4C" w:rsidRPr="00925B59">
        <w:t xml:space="preserve">other entities </w:t>
      </w:r>
      <w:r w:rsidR="00D93493" w:rsidRPr="00925B59">
        <w:t xml:space="preserve">operating </w:t>
      </w:r>
      <w:r w:rsidR="00336C4C" w:rsidRPr="00925B59">
        <w:t>in the Arctic</w:t>
      </w:r>
      <w:r w:rsidR="00490CA5" w:rsidRPr="00925B59">
        <w:t xml:space="preserve">. </w:t>
      </w:r>
      <w:r w:rsidRPr="00925B59">
        <w:t xml:space="preserve">For example, the </w:t>
      </w:r>
      <w:r w:rsidR="00D93493" w:rsidRPr="00925B59">
        <w:t>Global Environmental Facility</w:t>
      </w:r>
      <w:r w:rsidRPr="00925B59">
        <w:t>,</w:t>
      </w:r>
      <w:bookmarkStart w:id="28" w:name="_Ref334084149"/>
      <w:r w:rsidRPr="00925B59">
        <w:rPr>
          <w:rStyle w:val="FootnoteReference"/>
        </w:rPr>
        <w:footnoteReference w:id="53"/>
      </w:r>
      <w:bookmarkEnd w:id="28"/>
      <w:r w:rsidRPr="00925B59">
        <w:t xml:space="preserve"> </w:t>
      </w:r>
      <w:r w:rsidR="00D93493" w:rsidRPr="00925B59">
        <w:t xml:space="preserve">the </w:t>
      </w:r>
      <w:r w:rsidR="00490CA5" w:rsidRPr="00925B59">
        <w:t>International</w:t>
      </w:r>
      <w:r w:rsidR="00D93493" w:rsidRPr="00925B59">
        <w:t xml:space="preserve"> </w:t>
      </w:r>
      <w:r w:rsidRPr="00925B59">
        <w:t>F</w:t>
      </w:r>
      <w:r w:rsidR="00D93493" w:rsidRPr="00925B59">
        <w:t xml:space="preserve">inance </w:t>
      </w:r>
      <w:r w:rsidRPr="00925B59">
        <w:t>C</w:t>
      </w:r>
      <w:r w:rsidR="00D93493" w:rsidRPr="00925B59">
        <w:t>orporation</w:t>
      </w:r>
      <w:r w:rsidRPr="00925B59">
        <w:t>,</w:t>
      </w:r>
      <w:bookmarkStart w:id="29" w:name="_Ref334083573"/>
      <w:r w:rsidR="00D93493" w:rsidRPr="00925B59">
        <w:rPr>
          <w:rStyle w:val="FootnoteReference"/>
        </w:rPr>
        <w:footnoteReference w:id="54"/>
      </w:r>
      <w:bookmarkEnd w:id="29"/>
      <w:r w:rsidR="00D93493" w:rsidRPr="00925B59">
        <w:t xml:space="preserve"> the </w:t>
      </w:r>
      <w:r w:rsidRPr="00925B59">
        <w:t>World Bank</w:t>
      </w:r>
      <w:r w:rsidR="006F6578" w:rsidRPr="00925B59">
        <w:t>,</w:t>
      </w:r>
      <w:r w:rsidR="00490CA5" w:rsidRPr="00925B59">
        <w:rPr>
          <w:rStyle w:val="FootnoteReference"/>
        </w:rPr>
        <w:footnoteReference w:id="55"/>
      </w:r>
      <w:r w:rsidRPr="00925B59">
        <w:t xml:space="preserve"> </w:t>
      </w:r>
      <w:r w:rsidR="006F6578" w:rsidRPr="00925B59">
        <w:t xml:space="preserve">and the International Funders for </w:t>
      </w:r>
      <w:r w:rsidR="00C95A84">
        <w:t>Indigenous</w:t>
      </w:r>
      <w:r w:rsidR="00FC63E1">
        <w:t xml:space="preserve"> Peoples</w:t>
      </w:r>
      <w:bookmarkStart w:id="30" w:name="_Ref334083206"/>
      <w:r w:rsidR="006F6578" w:rsidRPr="00925B59">
        <w:rPr>
          <w:rStyle w:val="FootnoteReference"/>
        </w:rPr>
        <w:footnoteReference w:id="56"/>
      </w:r>
      <w:bookmarkEnd w:id="30"/>
      <w:r w:rsidR="006F6578" w:rsidRPr="00925B59">
        <w:t xml:space="preserve"> </w:t>
      </w:r>
      <w:r w:rsidR="00490CA5" w:rsidRPr="00925B59">
        <w:t>each have identified</w:t>
      </w:r>
      <w:r w:rsidRPr="00925B59">
        <w:t xml:space="preserve"> good practices for </w:t>
      </w:r>
      <w:r w:rsidR="00C95A84">
        <w:t>Indigenous</w:t>
      </w:r>
      <w:r w:rsidRPr="00925B59">
        <w:t xml:space="preserve"> engagement </w:t>
      </w:r>
      <w:r w:rsidR="00D93493" w:rsidRPr="00925B59">
        <w:t>by financial institutions</w:t>
      </w:r>
      <w:r w:rsidRPr="00925B59">
        <w:t xml:space="preserve"> </w:t>
      </w:r>
      <w:r w:rsidR="006F6578" w:rsidRPr="00925B59">
        <w:t xml:space="preserve">or foundations </w:t>
      </w:r>
      <w:r w:rsidRPr="00925B59">
        <w:t xml:space="preserve">funding activities that may affect </w:t>
      </w:r>
      <w:r w:rsidR="00C95A84">
        <w:t>Indigenous</w:t>
      </w:r>
      <w:r w:rsidR="00FC63E1">
        <w:t xml:space="preserve"> Peoples</w:t>
      </w:r>
      <w:r w:rsidRPr="00925B59">
        <w:t xml:space="preserve">. </w:t>
      </w:r>
      <w:r w:rsidR="00336C4C" w:rsidRPr="00925B59">
        <w:t xml:space="preserve">Within the Arctic, Alaska’s North Pacific Research Board requires </w:t>
      </w:r>
      <w:r w:rsidR="00C95A84">
        <w:t>Indigenous</w:t>
      </w:r>
      <w:r w:rsidR="00336C4C" w:rsidRPr="00925B59">
        <w:t xml:space="preserve"> </w:t>
      </w:r>
      <w:r w:rsidR="005A23C2">
        <w:t>engagement</w:t>
      </w:r>
      <w:r w:rsidR="00336C4C" w:rsidRPr="00925B59">
        <w:t xml:space="preserve"> for any research </w:t>
      </w:r>
      <w:r w:rsidR="00822AC5" w:rsidRPr="00925B59">
        <w:t>funded by the organization</w:t>
      </w:r>
      <w:r w:rsidR="008D78B0" w:rsidRPr="00925B59">
        <w:t>.</w:t>
      </w:r>
      <w:r w:rsidR="008D78B0" w:rsidRPr="00925B59">
        <w:rPr>
          <w:rStyle w:val="FootnoteReference"/>
        </w:rPr>
        <w:footnoteReference w:id="57"/>
      </w:r>
      <w:r w:rsidR="0068679A" w:rsidRPr="00925B59">
        <w:t xml:space="preserve"> </w:t>
      </w:r>
      <w:r w:rsidR="00822AC5" w:rsidRPr="00925B59">
        <w:t>There are guidelines for researchers as well.</w:t>
      </w:r>
      <w:bookmarkStart w:id="31" w:name="_Ref334083103"/>
      <w:r w:rsidR="00822AC5" w:rsidRPr="00925B59">
        <w:rPr>
          <w:rStyle w:val="FootnoteReference"/>
        </w:rPr>
        <w:footnoteReference w:id="58"/>
      </w:r>
      <w:bookmarkEnd w:id="31"/>
      <w:r w:rsidR="00822AC5" w:rsidRPr="00925B59">
        <w:t xml:space="preserve"> </w:t>
      </w:r>
      <w:r w:rsidR="00B542C4" w:rsidRPr="00925B59">
        <w:t>Some conservation groups, such as WWF</w:t>
      </w:r>
      <w:r w:rsidR="00B46E3B">
        <w:t xml:space="preserve"> (formerly known as the World Wildlife Fund and World Wide Fund for Nature)</w:t>
      </w:r>
      <w:r w:rsidR="00B542C4" w:rsidRPr="00925B59">
        <w:t>,</w:t>
      </w:r>
      <w:bookmarkStart w:id="32" w:name="_Ref334083266"/>
      <w:r w:rsidR="00B542C4" w:rsidRPr="00925B59">
        <w:rPr>
          <w:rStyle w:val="FootnoteReference"/>
        </w:rPr>
        <w:footnoteReference w:id="59"/>
      </w:r>
      <w:bookmarkEnd w:id="32"/>
      <w:r w:rsidR="00B542C4" w:rsidRPr="00925B59">
        <w:t xml:space="preserve"> </w:t>
      </w:r>
      <w:r w:rsidR="004F6D06">
        <w:t>the International Union for the Conservation of Nature (</w:t>
      </w:r>
      <w:r w:rsidR="00B542C4" w:rsidRPr="00925B59">
        <w:t>IUCN</w:t>
      </w:r>
      <w:r w:rsidR="004F6D06">
        <w:t>)</w:t>
      </w:r>
      <w:r w:rsidR="00B542C4" w:rsidRPr="00925B59">
        <w:t>,</w:t>
      </w:r>
      <w:bookmarkStart w:id="33" w:name="_Ref334083973"/>
      <w:r w:rsidR="00B542C4" w:rsidRPr="00925B59">
        <w:rPr>
          <w:rStyle w:val="FootnoteReference"/>
        </w:rPr>
        <w:footnoteReference w:id="60"/>
      </w:r>
      <w:bookmarkEnd w:id="33"/>
      <w:r w:rsidR="00B542C4" w:rsidRPr="00925B59">
        <w:t xml:space="preserve"> </w:t>
      </w:r>
      <w:r w:rsidR="00A7329C" w:rsidRPr="00925B59">
        <w:t>and</w:t>
      </w:r>
      <w:r w:rsidR="004F6D06">
        <w:t xml:space="preserve"> Conservation International</w:t>
      </w:r>
      <w:r w:rsidR="00A7329C" w:rsidRPr="00925B59">
        <w:t xml:space="preserve"> </w:t>
      </w:r>
      <w:r w:rsidR="004F6D06">
        <w:t>(</w:t>
      </w:r>
      <w:r w:rsidR="00A7329C" w:rsidRPr="00925B59">
        <w:t>CI</w:t>
      </w:r>
      <w:r w:rsidR="004F6D06">
        <w:t>)</w:t>
      </w:r>
      <w:bookmarkStart w:id="34" w:name="_Ref334080485"/>
      <w:r w:rsidR="00A7329C" w:rsidRPr="00925B59">
        <w:rPr>
          <w:rStyle w:val="FootnoteReference"/>
        </w:rPr>
        <w:footnoteReference w:id="61"/>
      </w:r>
      <w:bookmarkEnd w:id="34"/>
      <w:r w:rsidR="00A7329C" w:rsidRPr="00925B59">
        <w:t xml:space="preserve"> </w:t>
      </w:r>
      <w:r w:rsidR="00B542C4" w:rsidRPr="00925B59">
        <w:t xml:space="preserve">have created </w:t>
      </w:r>
      <w:r w:rsidR="005E3736">
        <w:t xml:space="preserve">policies for engagement with </w:t>
      </w:r>
      <w:r w:rsidR="00C95A84">
        <w:t>Indigenous</w:t>
      </w:r>
      <w:r w:rsidR="00FC63E1">
        <w:t xml:space="preserve"> Peoples</w:t>
      </w:r>
      <w:r w:rsidR="00B542C4" w:rsidRPr="00925B59">
        <w:t xml:space="preserve"> that can provide guidance to </w:t>
      </w:r>
      <w:r w:rsidR="00860F5C">
        <w:t>non-governmental organizations (</w:t>
      </w:r>
      <w:r w:rsidR="00B542C4" w:rsidRPr="00925B59">
        <w:t>NGOs</w:t>
      </w:r>
      <w:r w:rsidR="00860F5C">
        <w:t>)</w:t>
      </w:r>
      <w:r w:rsidR="00B542C4" w:rsidRPr="00925B59">
        <w:t xml:space="preserve"> working in the Arctic.</w:t>
      </w:r>
      <w:r w:rsidR="00DF6112" w:rsidRPr="00925B59">
        <w:t xml:space="preserve"> Policies</w:t>
      </w:r>
      <w:r w:rsidR="00BA5081" w:rsidRPr="00925B59">
        <w:t xml:space="preserve"> also exist for international development projects, which can serve as a useful reference for entities operating in the Arctic.</w:t>
      </w:r>
      <w:r w:rsidR="00BA5081" w:rsidRPr="00925B59">
        <w:rPr>
          <w:rStyle w:val="FootnoteReference"/>
        </w:rPr>
        <w:footnoteReference w:id="62"/>
      </w:r>
      <w:r w:rsidR="002B441E">
        <w:t xml:space="preserve"> </w:t>
      </w:r>
    </w:p>
    <w:p w14:paraId="20DA888A" w14:textId="77777777" w:rsidR="00ED59AA" w:rsidRDefault="00ED59AA" w:rsidP="00B12B13">
      <w:pPr>
        <w:widowControl w:val="0"/>
        <w:autoSpaceDE w:val="0"/>
        <w:autoSpaceDN w:val="0"/>
        <w:adjustRightInd w:val="0"/>
      </w:pPr>
    </w:p>
    <w:p w14:paraId="5969113B" w14:textId="4E5C7247" w:rsidR="008164AF" w:rsidRPr="000E045D" w:rsidRDefault="00ED59AA" w:rsidP="00C47393">
      <w:pPr>
        <w:pStyle w:val="Heading2"/>
        <w:numPr>
          <w:ilvl w:val="0"/>
          <w:numId w:val="14"/>
        </w:numPr>
        <w:rPr>
          <w:rFonts w:ascii="Times New Roman" w:hAnsi="Times New Roman" w:cs="Times New Roman"/>
          <w:color w:val="auto"/>
          <w:sz w:val="24"/>
          <w:szCs w:val="24"/>
          <w:u w:val="single"/>
        </w:rPr>
      </w:pPr>
      <w:bookmarkStart w:id="35" w:name="_Toc334125700"/>
      <w:r w:rsidRPr="000E045D">
        <w:rPr>
          <w:rFonts w:ascii="Times New Roman" w:hAnsi="Times New Roman" w:cs="Times New Roman"/>
          <w:color w:val="auto"/>
          <w:sz w:val="24"/>
          <w:szCs w:val="24"/>
          <w:u w:val="single"/>
        </w:rPr>
        <w:t>Indigenous Peoples’ authority on the obligation of engagement</w:t>
      </w:r>
      <w:bookmarkEnd w:id="35"/>
    </w:p>
    <w:p w14:paraId="3EA41D4F" w14:textId="77777777" w:rsidR="008164AF" w:rsidRDefault="008164AF" w:rsidP="008164AF">
      <w:pPr>
        <w:widowControl w:val="0"/>
        <w:autoSpaceDE w:val="0"/>
        <w:autoSpaceDN w:val="0"/>
        <w:adjustRightInd w:val="0"/>
      </w:pPr>
    </w:p>
    <w:p w14:paraId="7A46E472" w14:textId="4B7C9EA4" w:rsidR="00822AC5" w:rsidRPr="008164AF" w:rsidRDefault="00822AC5" w:rsidP="008164AF">
      <w:pPr>
        <w:widowControl w:val="0"/>
        <w:autoSpaceDE w:val="0"/>
        <w:autoSpaceDN w:val="0"/>
        <w:adjustRightInd w:val="0"/>
      </w:pPr>
      <w:r w:rsidRPr="008164AF">
        <w:t xml:space="preserve">A fundamental principle of </w:t>
      </w:r>
      <w:r w:rsidR="00C95A84" w:rsidRPr="008164AF">
        <w:t>Indigenous</w:t>
      </w:r>
      <w:r w:rsidRPr="008164AF">
        <w:t xml:space="preserve"> engagement is that </w:t>
      </w:r>
      <w:r w:rsidR="00C95A84" w:rsidRPr="008164AF">
        <w:t>Indigenous</w:t>
      </w:r>
      <w:r w:rsidR="00FC63E1" w:rsidRPr="008164AF">
        <w:t xml:space="preserve"> Peoples</w:t>
      </w:r>
      <w:r w:rsidRPr="008164AF">
        <w:t xml:space="preserve"> should be equal partners in the development of institutional structures, laws, and policies that address </w:t>
      </w:r>
      <w:r w:rsidR="00C95A84" w:rsidRPr="008164AF">
        <w:t>Indigenous</w:t>
      </w:r>
      <w:r w:rsidRPr="008164AF">
        <w:t xml:space="preserve"> rights and issues.</w:t>
      </w:r>
      <w:bookmarkStart w:id="36" w:name="_Ref333325072"/>
      <w:r w:rsidRPr="00925B59">
        <w:rPr>
          <w:rStyle w:val="FootnoteReference"/>
        </w:rPr>
        <w:footnoteReference w:id="63"/>
      </w:r>
      <w:bookmarkEnd w:id="36"/>
      <w:r w:rsidRPr="008164AF">
        <w:t xml:space="preserve"> Government, researchers, </w:t>
      </w:r>
      <w:r w:rsidR="00951DC2" w:rsidRPr="008164AF">
        <w:t>and other organizations can</w:t>
      </w:r>
      <w:r w:rsidRPr="008164AF">
        <w:t xml:space="preserve"> take steps to include </w:t>
      </w:r>
      <w:r w:rsidR="00C95A84" w:rsidRPr="008164AF">
        <w:t>Indigenous</w:t>
      </w:r>
      <w:r w:rsidR="00FC63E1" w:rsidRPr="008164AF">
        <w:t xml:space="preserve"> Peoples</w:t>
      </w:r>
      <w:r w:rsidRPr="008164AF">
        <w:t xml:space="preserve"> in the formation of their engagement standards. In Norway, for e</w:t>
      </w:r>
      <w:r w:rsidR="005A23C2">
        <w:t xml:space="preserve">xample, the </w:t>
      </w:r>
      <w:r w:rsidR="005A23C2">
        <w:lastRenderedPageBreak/>
        <w:t>Parliament engaged</w:t>
      </w:r>
      <w:r w:rsidRPr="008164AF">
        <w:t xml:space="preserve"> with </w:t>
      </w:r>
      <w:r w:rsidR="00C95A84" w:rsidRPr="008164AF">
        <w:t>Indigenous</w:t>
      </w:r>
      <w:r w:rsidR="00FC63E1" w:rsidRPr="008164AF">
        <w:t xml:space="preserve"> Peoples</w:t>
      </w:r>
      <w:r w:rsidRPr="008164AF">
        <w:t xml:space="preserve"> when drafting the legislation that implemented some of Norway’s international obligations towards </w:t>
      </w:r>
      <w:r w:rsidR="00C95A84" w:rsidRPr="008164AF">
        <w:t>Indigenous</w:t>
      </w:r>
      <w:r w:rsidR="00FC63E1" w:rsidRPr="008164AF">
        <w:t xml:space="preserve"> Peoples</w:t>
      </w:r>
      <w:r w:rsidRPr="008164AF">
        <w:t>.</w:t>
      </w:r>
      <w:bookmarkStart w:id="37" w:name="_Ref334084861"/>
      <w:r w:rsidRPr="00925B59">
        <w:rPr>
          <w:rStyle w:val="FootnoteReference"/>
        </w:rPr>
        <w:footnoteReference w:id="64"/>
      </w:r>
      <w:bookmarkEnd w:id="37"/>
      <w:r w:rsidRPr="008164AF">
        <w:t xml:space="preserve"> </w:t>
      </w:r>
      <w:r w:rsidRPr="008164AF">
        <w:rPr>
          <w:color w:val="070909"/>
        </w:rPr>
        <w:t>In Canada, the federal gov</w:t>
      </w:r>
      <w:r w:rsidR="004F3F3F">
        <w:rPr>
          <w:color w:val="070909"/>
        </w:rPr>
        <w:t>ernment engaged</w:t>
      </w:r>
      <w:r w:rsidRPr="008164AF">
        <w:rPr>
          <w:color w:val="070909"/>
        </w:rPr>
        <w:t xml:space="preserve"> with </w:t>
      </w:r>
      <w:r w:rsidR="00C95A84" w:rsidRPr="008164AF">
        <w:rPr>
          <w:color w:val="070909"/>
        </w:rPr>
        <w:t>Indigenous</w:t>
      </w:r>
      <w:r w:rsidR="00FC63E1" w:rsidRPr="008164AF">
        <w:rPr>
          <w:color w:val="070909"/>
        </w:rPr>
        <w:t xml:space="preserve"> Peoples</w:t>
      </w:r>
      <w:r w:rsidRPr="008164AF">
        <w:rPr>
          <w:color w:val="070909"/>
        </w:rPr>
        <w:t xml:space="preserve"> before creating its federal policy on consultation and accommodation, documented the views expressed</w:t>
      </w:r>
      <w:r w:rsidR="004F3F3F">
        <w:rPr>
          <w:color w:val="070909"/>
        </w:rPr>
        <w:t xml:space="preserve"> by Indigenous Peoples</w:t>
      </w:r>
      <w:r w:rsidRPr="008164AF">
        <w:rPr>
          <w:color w:val="070909"/>
        </w:rPr>
        <w:t>, and then sought additional feedback on its summary of the input provided.</w:t>
      </w:r>
      <w:r w:rsidRPr="00925B59">
        <w:rPr>
          <w:rStyle w:val="FootnoteReference"/>
          <w:color w:val="070909"/>
        </w:rPr>
        <w:footnoteReference w:id="65"/>
      </w:r>
      <w:r w:rsidR="00BF4FD3" w:rsidRPr="008164AF">
        <w:t xml:space="preserve"> </w:t>
      </w:r>
      <w:r w:rsidRPr="008164AF">
        <w:t xml:space="preserve">Similarly, </w:t>
      </w:r>
      <w:r w:rsidR="00C95A84" w:rsidRPr="008164AF">
        <w:t>Indigenous</w:t>
      </w:r>
      <w:r w:rsidR="00FC63E1" w:rsidRPr="008164AF">
        <w:t xml:space="preserve"> Peoples</w:t>
      </w:r>
      <w:r w:rsidRPr="008164AF">
        <w:t xml:space="preserve"> had significant input into the creation of the UNDRIP. </w:t>
      </w:r>
      <w:r w:rsidR="00C95A84" w:rsidRPr="008164AF">
        <w:t>Indigenous</w:t>
      </w:r>
      <w:r w:rsidRPr="008164AF">
        <w:t xml:space="preserve"> engagement on laws and policies which address </w:t>
      </w:r>
      <w:r w:rsidR="00C95A84" w:rsidRPr="008164AF">
        <w:t>Indigenous</w:t>
      </w:r>
      <w:r w:rsidRPr="008164AF">
        <w:t xml:space="preserve"> rights can “</w:t>
      </w:r>
      <w:r w:rsidRPr="008164AF">
        <w:rPr>
          <w:color w:val="070909"/>
        </w:rPr>
        <w:t xml:space="preserve">help to build a continuum of communication” between </w:t>
      </w:r>
      <w:r w:rsidR="00951DC2" w:rsidRPr="008164AF">
        <w:rPr>
          <w:color w:val="070909"/>
        </w:rPr>
        <w:t>various organizations</w:t>
      </w:r>
      <w:r w:rsidRPr="008164AF">
        <w:rPr>
          <w:color w:val="070909"/>
        </w:rPr>
        <w:t xml:space="preserve"> and </w:t>
      </w:r>
      <w:r w:rsidR="00C95A84" w:rsidRPr="008164AF">
        <w:rPr>
          <w:color w:val="070909"/>
        </w:rPr>
        <w:t>Indigenous</w:t>
      </w:r>
      <w:r w:rsidR="00FC63E1" w:rsidRPr="008164AF">
        <w:rPr>
          <w:color w:val="070909"/>
        </w:rPr>
        <w:t xml:space="preserve"> Peoples</w:t>
      </w:r>
      <w:r w:rsidRPr="008164AF">
        <w:rPr>
          <w:color w:val="070909"/>
        </w:rPr>
        <w:t>.</w:t>
      </w:r>
      <w:bookmarkStart w:id="38" w:name="_Ref334082751"/>
      <w:r w:rsidRPr="00925B59">
        <w:rPr>
          <w:rStyle w:val="FootnoteReference"/>
          <w:color w:val="070909"/>
        </w:rPr>
        <w:footnoteReference w:id="66"/>
      </w:r>
      <w:bookmarkEnd w:id="38"/>
      <w:r w:rsidRPr="008164AF">
        <w:rPr>
          <w:color w:val="070909"/>
        </w:rPr>
        <w:t xml:space="preserve"> </w:t>
      </w:r>
    </w:p>
    <w:p w14:paraId="72E4A944" w14:textId="77777777" w:rsidR="00822AC5" w:rsidRPr="00925B59" w:rsidRDefault="00822AC5" w:rsidP="00B12B13"/>
    <w:p w14:paraId="424F858C" w14:textId="4C378624" w:rsidR="00232697" w:rsidRDefault="00CD3616" w:rsidP="00D2103E">
      <w:r>
        <w:t xml:space="preserve">Many </w:t>
      </w:r>
      <w:r w:rsidR="00C95A84">
        <w:t>Indigenous</w:t>
      </w:r>
      <w:r w:rsidR="00FC63E1">
        <w:t xml:space="preserve"> Peoples</w:t>
      </w:r>
      <w:r w:rsidR="001659A1" w:rsidRPr="00925B59">
        <w:t xml:space="preserve"> </w:t>
      </w:r>
      <w:r w:rsidR="00822AC5" w:rsidRPr="00925B59">
        <w:t>support their role in the development of engagement standards by c</w:t>
      </w:r>
      <w:r w:rsidR="00B55167" w:rsidRPr="00925B59">
        <w:t>reating the</w:t>
      </w:r>
      <w:r w:rsidR="0087653F" w:rsidRPr="00925B59">
        <w:t xml:space="preserve">ir own engagement policies </w:t>
      </w:r>
      <w:r w:rsidR="00B55167" w:rsidRPr="00925B59">
        <w:t xml:space="preserve">and identifying </w:t>
      </w:r>
      <w:r w:rsidR="00B50427" w:rsidRPr="00925B59">
        <w:t xml:space="preserve">how </w:t>
      </w:r>
      <w:r w:rsidR="005A23C2">
        <w:t xml:space="preserve">engagement </w:t>
      </w:r>
      <w:r w:rsidR="00B50427" w:rsidRPr="00925B59">
        <w:t>with their community should take place</w:t>
      </w:r>
      <w:r w:rsidR="00AA4EC1" w:rsidRPr="00925B59">
        <w:t xml:space="preserve">. </w:t>
      </w:r>
      <w:r w:rsidR="00302784" w:rsidRPr="00925B59">
        <w:t>Some of t</w:t>
      </w:r>
      <w:r w:rsidR="006C116E" w:rsidRPr="00925B59">
        <w:t>he existing</w:t>
      </w:r>
      <w:r w:rsidR="00F30D5E" w:rsidRPr="00925B59">
        <w:t xml:space="preserve"> protocols are grounded in </w:t>
      </w:r>
      <w:r w:rsidR="00C95A84">
        <w:t>Indigenous</w:t>
      </w:r>
      <w:r w:rsidR="00F30D5E" w:rsidRPr="00925B59">
        <w:t xml:space="preserve"> laws, </w:t>
      </w:r>
      <w:r w:rsidR="00417103" w:rsidRPr="00925B59">
        <w:t>worldviews</w:t>
      </w:r>
      <w:r w:rsidR="00F30D5E" w:rsidRPr="00925B59">
        <w:t>, and values.</w:t>
      </w:r>
      <w:r w:rsidR="00F30D5E" w:rsidRPr="00925B59">
        <w:rPr>
          <w:rStyle w:val="FootnoteReference"/>
        </w:rPr>
        <w:footnoteReference w:id="67"/>
      </w:r>
      <w:r w:rsidR="00F30D5E" w:rsidRPr="00925B59">
        <w:t xml:space="preserve"> </w:t>
      </w:r>
      <w:r w:rsidR="00532ECB" w:rsidRPr="00925B59">
        <w:rPr>
          <w:lang w:val="en-US"/>
        </w:rPr>
        <w:t xml:space="preserve">For example, the </w:t>
      </w:r>
      <w:proofErr w:type="spellStart"/>
      <w:r w:rsidR="00532ECB" w:rsidRPr="00925B59">
        <w:rPr>
          <w:lang w:val="en-US"/>
        </w:rPr>
        <w:t>Hul’qumi’</w:t>
      </w:r>
      <w:r w:rsidR="00A12D0D">
        <w:rPr>
          <w:lang w:val="en-US"/>
        </w:rPr>
        <w:t>num</w:t>
      </w:r>
      <w:proofErr w:type="spellEnd"/>
      <w:r w:rsidR="00A12D0D">
        <w:rPr>
          <w:lang w:val="en-US"/>
        </w:rPr>
        <w:t xml:space="preserve"> consultation policy provides</w:t>
      </w:r>
      <w:r w:rsidR="00532ECB" w:rsidRPr="00925B59">
        <w:rPr>
          <w:lang w:val="en-US"/>
        </w:rPr>
        <w:t xml:space="preserve"> a detailed explanation of the six First Nations </w:t>
      </w:r>
      <w:r w:rsidR="00A12D0D">
        <w:rPr>
          <w:lang w:val="en-US"/>
        </w:rPr>
        <w:t xml:space="preserve">forming the </w:t>
      </w:r>
      <w:r w:rsidR="00532ECB" w:rsidRPr="00925B59">
        <w:rPr>
          <w:lang w:val="en-US"/>
        </w:rPr>
        <w:t xml:space="preserve">Treaty Group, </w:t>
      </w:r>
      <w:r w:rsidR="00A12D0D">
        <w:rPr>
          <w:lang w:val="en-US"/>
        </w:rPr>
        <w:t xml:space="preserve">including </w:t>
      </w:r>
      <w:r w:rsidR="00532ECB" w:rsidRPr="00925B59">
        <w:rPr>
          <w:lang w:val="en-US"/>
        </w:rPr>
        <w:t>their rights, history, and culture.</w:t>
      </w:r>
      <w:bookmarkStart w:id="39" w:name="_Ref334005729"/>
      <w:r w:rsidR="00532ECB" w:rsidRPr="00925B59">
        <w:rPr>
          <w:rStyle w:val="FootnoteReference"/>
          <w:lang w:val="en-US"/>
        </w:rPr>
        <w:footnoteReference w:id="68"/>
      </w:r>
      <w:bookmarkEnd w:id="39"/>
      <w:r w:rsidR="00532ECB" w:rsidRPr="00925B59">
        <w:rPr>
          <w:lang w:val="en-US"/>
        </w:rPr>
        <w:t xml:space="preserve"> The </w:t>
      </w:r>
      <w:proofErr w:type="spellStart"/>
      <w:r w:rsidR="00A12D0D" w:rsidRPr="00925B59">
        <w:rPr>
          <w:lang w:val="en-US"/>
        </w:rPr>
        <w:t>Hul’qumi’</w:t>
      </w:r>
      <w:r w:rsidR="00A12D0D">
        <w:rPr>
          <w:lang w:val="en-US"/>
        </w:rPr>
        <w:t>num</w:t>
      </w:r>
      <w:proofErr w:type="spellEnd"/>
      <w:r w:rsidR="00A12D0D" w:rsidRPr="00925B59">
        <w:rPr>
          <w:lang w:val="en-US"/>
        </w:rPr>
        <w:t xml:space="preserve"> </w:t>
      </w:r>
      <w:r w:rsidR="00532ECB" w:rsidRPr="00925B59">
        <w:rPr>
          <w:lang w:val="en-US"/>
        </w:rPr>
        <w:t xml:space="preserve">consultation policy is explained in terms of their own traditional principles, providing an </w:t>
      </w:r>
      <w:r w:rsidR="00C95A84">
        <w:rPr>
          <w:lang w:val="en-US"/>
        </w:rPr>
        <w:t>Indigenous</w:t>
      </w:r>
      <w:r w:rsidR="00532ECB" w:rsidRPr="00925B59">
        <w:rPr>
          <w:lang w:val="en-US"/>
        </w:rPr>
        <w:t>-centered view of meaningful engagement.</w:t>
      </w:r>
      <w:r w:rsidR="00A12D0D">
        <w:rPr>
          <w:rStyle w:val="FootnoteReference"/>
          <w:lang w:val="en-US"/>
        </w:rPr>
        <w:footnoteReference w:id="69"/>
      </w:r>
      <w:r w:rsidR="00DF6112" w:rsidRPr="00925B59">
        <w:t xml:space="preserve"> </w:t>
      </w:r>
      <w:r w:rsidR="00302784" w:rsidRPr="00925B59">
        <w:t xml:space="preserve">The majority of </w:t>
      </w:r>
      <w:r w:rsidR="00DF6112" w:rsidRPr="00925B59">
        <w:t xml:space="preserve">these </w:t>
      </w:r>
      <w:r w:rsidR="008A5ABA" w:rsidRPr="00925B59">
        <w:t xml:space="preserve">protocols are aimed at engagement </w:t>
      </w:r>
      <w:r w:rsidR="00302784" w:rsidRPr="00925B59">
        <w:t xml:space="preserve">with </w:t>
      </w:r>
      <w:r w:rsidR="00BC7DCF">
        <w:t>companies</w:t>
      </w:r>
      <w:r w:rsidR="00302784" w:rsidRPr="00925B59">
        <w:t xml:space="preserve"> and </w:t>
      </w:r>
      <w:r w:rsidR="008A5ABA" w:rsidRPr="00925B59">
        <w:t>government</w:t>
      </w:r>
      <w:r w:rsidR="00490CA5" w:rsidRPr="00925B59">
        <w:t>s</w:t>
      </w:r>
      <w:r w:rsidR="008A5ABA" w:rsidRPr="00925B59">
        <w:t>.</w:t>
      </w:r>
      <w:bookmarkStart w:id="40" w:name="_Ref333487475"/>
      <w:r w:rsidR="008A5ABA" w:rsidRPr="00925B59">
        <w:rPr>
          <w:rStyle w:val="FootnoteReference"/>
        </w:rPr>
        <w:footnoteReference w:id="70"/>
      </w:r>
      <w:bookmarkEnd w:id="40"/>
      <w:r w:rsidR="00822AC5" w:rsidRPr="00925B59">
        <w:t xml:space="preserve"> </w:t>
      </w:r>
      <w:r w:rsidR="008A5ABA" w:rsidRPr="00925B59">
        <w:t xml:space="preserve">Other </w:t>
      </w:r>
      <w:r w:rsidR="00417103" w:rsidRPr="00925B59">
        <w:t xml:space="preserve">protocols </w:t>
      </w:r>
      <w:r w:rsidR="00457E75" w:rsidRPr="00925B59">
        <w:t xml:space="preserve">are </w:t>
      </w:r>
      <w:r w:rsidR="00417103" w:rsidRPr="00925B59">
        <w:t>designed for specific industries</w:t>
      </w:r>
      <w:r w:rsidR="00302784" w:rsidRPr="00925B59">
        <w:t xml:space="preserve">, such as the Innu Nation </w:t>
      </w:r>
      <w:r w:rsidR="008A07CB">
        <w:t>guidelines for</w:t>
      </w:r>
      <w:r w:rsidR="00AD4B92" w:rsidRPr="00925B59">
        <w:t xml:space="preserve"> mining </w:t>
      </w:r>
      <w:r w:rsidR="008A07CB">
        <w:t>companies</w:t>
      </w:r>
      <w:r w:rsidR="00AD4B92" w:rsidRPr="00925B59">
        <w:t>.</w:t>
      </w:r>
      <w:r w:rsidR="00AD4B92" w:rsidRPr="00925B59">
        <w:rPr>
          <w:rStyle w:val="FootnoteReference"/>
        </w:rPr>
        <w:footnoteReference w:id="71"/>
      </w:r>
      <w:r w:rsidR="00AD4B92" w:rsidRPr="00925B59">
        <w:t xml:space="preserve"> </w:t>
      </w:r>
      <w:r w:rsidR="008A5ABA" w:rsidRPr="00925B59">
        <w:t>Fewer are aimed specifically at research projects</w:t>
      </w:r>
      <w:bookmarkStart w:id="41" w:name="_Ref334084445"/>
      <w:r w:rsidR="00EA4A07">
        <w:rPr>
          <w:rStyle w:val="FootnoteReference"/>
        </w:rPr>
        <w:footnoteReference w:id="72"/>
      </w:r>
      <w:bookmarkEnd w:id="41"/>
      <w:r w:rsidR="008A5ABA" w:rsidRPr="00925B59">
        <w:t xml:space="preserve"> or at </w:t>
      </w:r>
      <w:r w:rsidR="00A66293" w:rsidRPr="00925B59">
        <w:t>outside entities</w:t>
      </w:r>
      <w:r w:rsidR="00417103" w:rsidRPr="00925B59">
        <w:t xml:space="preserve"> generally</w:t>
      </w:r>
      <w:r w:rsidR="008A5ABA" w:rsidRPr="00925B59">
        <w:t>.</w:t>
      </w:r>
      <w:bookmarkStart w:id="42" w:name="_Ref333347831"/>
      <w:r w:rsidR="008A5ABA" w:rsidRPr="00925B59">
        <w:rPr>
          <w:rStyle w:val="FootnoteReference"/>
        </w:rPr>
        <w:footnoteReference w:id="73"/>
      </w:r>
      <w:bookmarkEnd w:id="42"/>
      <w:r w:rsidR="00417103" w:rsidRPr="00925B59">
        <w:t xml:space="preserve"> </w:t>
      </w:r>
      <w:r w:rsidR="00105AA6">
        <w:t xml:space="preserve">Some guidelines are for </w:t>
      </w:r>
      <w:r w:rsidR="002E1CC4">
        <w:t xml:space="preserve">use by </w:t>
      </w:r>
      <w:r w:rsidR="00105AA6">
        <w:t xml:space="preserve">outsiders, while others are created by Indigenous Peoples </w:t>
      </w:r>
      <w:r w:rsidR="002E1CC4">
        <w:t>for internal use</w:t>
      </w:r>
      <w:r w:rsidR="00105AA6">
        <w:t>.</w:t>
      </w:r>
      <w:bookmarkStart w:id="43" w:name="_Ref333378845"/>
      <w:r w:rsidR="00105AA6">
        <w:rPr>
          <w:rStyle w:val="FootnoteReference"/>
        </w:rPr>
        <w:footnoteReference w:id="74"/>
      </w:r>
      <w:bookmarkEnd w:id="43"/>
      <w:r w:rsidR="00105AA6">
        <w:t xml:space="preserve"> </w:t>
      </w:r>
      <w:r w:rsidR="00C95A84">
        <w:t>Indigenous</w:t>
      </w:r>
      <w:r w:rsidR="00FC63E1">
        <w:t xml:space="preserve"> Peoples</w:t>
      </w:r>
      <w:r w:rsidR="001D5CC8" w:rsidRPr="00925B59">
        <w:t xml:space="preserve"> </w:t>
      </w:r>
      <w:r w:rsidR="00654515" w:rsidRPr="00925B59">
        <w:t xml:space="preserve">can promote the uptake of their engagement protocols by following up </w:t>
      </w:r>
      <w:r w:rsidR="001D5CC8" w:rsidRPr="00925B59">
        <w:t xml:space="preserve">with </w:t>
      </w:r>
      <w:r w:rsidR="00417103" w:rsidRPr="00925B59">
        <w:t xml:space="preserve">government </w:t>
      </w:r>
      <w:r w:rsidR="006A59BE" w:rsidRPr="00925B59">
        <w:t>and other organizations</w:t>
      </w:r>
      <w:r w:rsidR="001D5CC8" w:rsidRPr="00925B59">
        <w:t xml:space="preserve"> to discuss how their engagement protoc</w:t>
      </w:r>
      <w:r w:rsidR="00654515" w:rsidRPr="00925B59">
        <w:t>ols should be incorporated into</w:t>
      </w:r>
      <w:r w:rsidR="001D5CC8" w:rsidRPr="00925B59">
        <w:t xml:space="preserve"> </w:t>
      </w:r>
      <w:r w:rsidR="00417103" w:rsidRPr="00925B59">
        <w:t>those entities’</w:t>
      </w:r>
      <w:r w:rsidR="001D5CC8" w:rsidRPr="00925B59">
        <w:t xml:space="preserve"> </w:t>
      </w:r>
      <w:r w:rsidR="00654515" w:rsidRPr="00925B59">
        <w:t xml:space="preserve">engagement </w:t>
      </w:r>
      <w:r w:rsidR="001D5CC8" w:rsidRPr="00925B59">
        <w:t>practice</w:t>
      </w:r>
      <w:r w:rsidR="00417103" w:rsidRPr="00925B59">
        <w:t>s</w:t>
      </w:r>
      <w:r w:rsidR="001D5CC8" w:rsidRPr="00925B59">
        <w:t>.</w:t>
      </w:r>
      <w:r w:rsidR="001D5CC8" w:rsidRPr="00925B59">
        <w:rPr>
          <w:rStyle w:val="FootnoteReference"/>
        </w:rPr>
        <w:footnoteReference w:id="75"/>
      </w:r>
    </w:p>
    <w:p w14:paraId="30CE1870" w14:textId="77777777" w:rsidR="00232697" w:rsidRDefault="00232697">
      <w:r>
        <w:br w:type="page"/>
      </w:r>
    </w:p>
    <w:p w14:paraId="3C3B72A1" w14:textId="77777777" w:rsidR="00D2103E" w:rsidRPr="00925B59" w:rsidRDefault="00D2103E" w:rsidP="00D2103E"/>
    <w:p w14:paraId="405D208E" w14:textId="3296AFBD" w:rsidR="00F24A4A" w:rsidRPr="00925B59" w:rsidRDefault="00F24A4A" w:rsidP="00B12B13"/>
    <w:p w14:paraId="14D6F3CC" w14:textId="77777777" w:rsidR="00B50427" w:rsidRPr="000E045D" w:rsidRDefault="00B50427" w:rsidP="000E045D">
      <w:pPr>
        <w:pStyle w:val="Heading1"/>
        <w:numPr>
          <w:ilvl w:val="0"/>
          <w:numId w:val="18"/>
        </w:numPr>
        <w:rPr>
          <w:rFonts w:ascii="Times New Roman" w:hAnsi="Times New Roman" w:cs="Times New Roman"/>
          <w:color w:val="auto"/>
          <w:sz w:val="24"/>
          <w:szCs w:val="24"/>
        </w:rPr>
      </w:pPr>
      <w:bookmarkStart w:id="44" w:name="_Toc334125701"/>
      <w:r w:rsidRPr="000E045D">
        <w:rPr>
          <w:rFonts w:ascii="Times New Roman" w:hAnsi="Times New Roman" w:cs="Times New Roman"/>
          <w:color w:val="auto"/>
          <w:sz w:val="24"/>
          <w:szCs w:val="24"/>
        </w:rPr>
        <w:t>Common Good Practices for Engagement in Arctic Marine Activities</w:t>
      </w:r>
      <w:bookmarkEnd w:id="44"/>
    </w:p>
    <w:p w14:paraId="7B70625F" w14:textId="77777777" w:rsidR="00D2103E" w:rsidRDefault="00D2103E" w:rsidP="00B12B13"/>
    <w:p w14:paraId="733B5A7C" w14:textId="4347C2BB" w:rsidR="003A1649" w:rsidRDefault="00B50427" w:rsidP="00B12B13">
      <w:r w:rsidRPr="00925B59">
        <w:t xml:space="preserve">In the Arctic, many common practices of </w:t>
      </w:r>
      <w:r w:rsidR="00C95A84">
        <w:t>Indigenous</w:t>
      </w:r>
      <w:r w:rsidRPr="00925B59">
        <w:t xml:space="preserve"> </w:t>
      </w:r>
      <w:r w:rsidR="00791D1D" w:rsidRPr="00925B59">
        <w:t xml:space="preserve">engagement </w:t>
      </w:r>
      <w:r w:rsidR="00791D1D">
        <w:t>that were developed in the context of land-based activities</w:t>
      </w:r>
      <w:r w:rsidRPr="00925B59">
        <w:t xml:space="preserve"> have been applied to marine activities as those activities have increased. In addition, some obligations for </w:t>
      </w:r>
      <w:r w:rsidR="00C95A84">
        <w:t>Indigenous</w:t>
      </w:r>
      <w:r w:rsidRPr="00925B59">
        <w:t xml:space="preserve"> engageme</w:t>
      </w:r>
      <w:r w:rsidR="00501496" w:rsidRPr="00925B59">
        <w:t>nt are now reflected in laws,</w:t>
      </w:r>
      <w:r w:rsidRPr="00925B59">
        <w:t xml:space="preserve"> policies</w:t>
      </w:r>
      <w:r w:rsidR="00501496" w:rsidRPr="00925B59">
        <w:t>, and practices</w:t>
      </w:r>
      <w:r w:rsidRPr="00925B59">
        <w:t xml:space="preserve"> specifically related to marine activities.</w:t>
      </w:r>
      <w:r w:rsidRPr="00925B59">
        <w:rPr>
          <w:rStyle w:val="FootnoteReference"/>
        </w:rPr>
        <w:footnoteReference w:id="76"/>
      </w:r>
      <w:r w:rsidR="00A55D5E" w:rsidRPr="00925B59">
        <w:t xml:space="preserve"> </w:t>
      </w:r>
      <w:r w:rsidR="00995410" w:rsidRPr="00925B59">
        <w:t>All of the</w:t>
      </w:r>
      <w:r w:rsidR="002A6336" w:rsidRPr="00925B59">
        <w:t xml:space="preserve"> </w:t>
      </w:r>
      <w:r w:rsidR="00686315" w:rsidRPr="00925B59">
        <w:t xml:space="preserve">examples </w:t>
      </w:r>
      <w:r w:rsidR="002A6336" w:rsidRPr="00925B59">
        <w:t xml:space="preserve">provided </w:t>
      </w:r>
      <w:r w:rsidR="00686315" w:rsidRPr="00925B59">
        <w:t>below are practices that occur in Arctic</w:t>
      </w:r>
      <w:r w:rsidR="00995410" w:rsidRPr="00925B59">
        <w:t xml:space="preserve"> Council nations, although some have taken place in non-Arctic regions of those countries.</w:t>
      </w:r>
      <w:r w:rsidR="00404638" w:rsidRPr="00925B59">
        <w:t xml:space="preserve"> However, </w:t>
      </w:r>
      <w:r w:rsidR="002A6336" w:rsidRPr="00925B59">
        <w:t xml:space="preserve">these practices are included </w:t>
      </w:r>
      <w:r w:rsidR="00404638" w:rsidRPr="00925B59">
        <w:t>b</w:t>
      </w:r>
      <w:r w:rsidR="002A6336" w:rsidRPr="00925B59">
        <w:t xml:space="preserve">ecause they </w:t>
      </w:r>
      <w:r w:rsidR="00995410" w:rsidRPr="00925B59">
        <w:t>serve as insightful guidance to address new activities that are occurring</w:t>
      </w:r>
      <w:r w:rsidR="002A6336" w:rsidRPr="00925B59">
        <w:t xml:space="preserve"> in</w:t>
      </w:r>
      <w:r w:rsidR="00995410" w:rsidRPr="00925B59">
        <w:t xml:space="preserve"> adjacent Arctic territory. </w:t>
      </w:r>
      <w:r w:rsidR="001644F5">
        <w:t>T</w:t>
      </w:r>
      <w:r w:rsidR="002A6336" w:rsidRPr="00925B59">
        <w:t xml:space="preserve">he common </w:t>
      </w:r>
      <w:r w:rsidR="002D443D">
        <w:t>themes</w:t>
      </w:r>
      <w:r w:rsidR="002A6336" w:rsidRPr="00925B59">
        <w:t xml:space="preserve"> that these standards share, regardless of their source or the entity to which they apply, suggest that good practic</w:t>
      </w:r>
      <w:r w:rsidR="00B92CE6">
        <w:t>es for engagement can</w:t>
      </w:r>
      <w:r w:rsidR="002A6336" w:rsidRPr="00925B59">
        <w:t xml:space="preserve"> be applied to a broad range of activities in the Arctic.</w:t>
      </w:r>
      <w:r w:rsidR="004A3550" w:rsidRPr="00925B59">
        <w:t xml:space="preserve"> </w:t>
      </w:r>
    </w:p>
    <w:p w14:paraId="27BD7390" w14:textId="77777777" w:rsidR="000F759F" w:rsidRDefault="000F759F" w:rsidP="00B12B13"/>
    <w:p w14:paraId="6357AE22" w14:textId="7B49FA39" w:rsidR="002B3D71" w:rsidRPr="00925B59" w:rsidRDefault="004A3550" w:rsidP="00B12B13">
      <w:r w:rsidRPr="00925B59">
        <w:t>These practices include</w:t>
      </w:r>
      <w:r w:rsidR="002B3D71" w:rsidRPr="00925B59">
        <w:t>:</w:t>
      </w:r>
    </w:p>
    <w:p w14:paraId="6C2DEDF0" w14:textId="5350F545" w:rsidR="002B3D71" w:rsidRPr="00D8359C" w:rsidRDefault="002B3D71" w:rsidP="00890BF3">
      <w:pPr>
        <w:pStyle w:val="ListParagraph"/>
        <w:numPr>
          <w:ilvl w:val="0"/>
          <w:numId w:val="4"/>
        </w:numPr>
      </w:pPr>
      <w:r w:rsidRPr="00D8359C">
        <w:t>T</w:t>
      </w:r>
      <w:r w:rsidR="00B50427" w:rsidRPr="00D8359C">
        <w:t>imeliness</w:t>
      </w:r>
      <w:r w:rsidR="00077CCB">
        <w:t>: engagement is early in the process</w:t>
      </w:r>
      <w:r w:rsidR="00E34334" w:rsidRPr="00D8359C">
        <w:t xml:space="preserve"> and prior to any decisions</w:t>
      </w:r>
      <w:r w:rsidR="00B50427" w:rsidRPr="00D8359C">
        <w:t xml:space="preserve"> </w:t>
      </w:r>
    </w:p>
    <w:p w14:paraId="6A10AFA9" w14:textId="0602E23E" w:rsidR="002B3D71" w:rsidRPr="00D8359C" w:rsidRDefault="002B3D71" w:rsidP="00890BF3">
      <w:pPr>
        <w:pStyle w:val="ListParagraph"/>
        <w:numPr>
          <w:ilvl w:val="0"/>
          <w:numId w:val="4"/>
        </w:numPr>
      </w:pPr>
      <w:r w:rsidRPr="00D8359C">
        <w:t>A</w:t>
      </w:r>
      <w:r w:rsidR="0051590A" w:rsidRPr="00D8359C">
        <w:t>dequate preparation</w:t>
      </w:r>
      <w:r w:rsidR="00E34334" w:rsidRPr="00D8359C">
        <w:t>: all parties prepare in advance</w:t>
      </w:r>
      <w:r w:rsidR="0051590A" w:rsidRPr="00D8359C">
        <w:t xml:space="preserve"> </w:t>
      </w:r>
    </w:p>
    <w:p w14:paraId="50697BDE" w14:textId="2F87AAE5" w:rsidR="002B3D71" w:rsidRPr="00D8359C" w:rsidRDefault="00654515" w:rsidP="00890BF3">
      <w:pPr>
        <w:pStyle w:val="ListParagraph"/>
        <w:numPr>
          <w:ilvl w:val="0"/>
          <w:numId w:val="4"/>
        </w:numPr>
      </w:pPr>
      <w:r w:rsidRPr="00D8359C">
        <w:t>Identification of who will participate in engagement and the</w:t>
      </w:r>
      <w:r w:rsidR="0051590A" w:rsidRPr="00D8359C">
        <w:t xml:space="preserve"> </w:t>
      </w:r>
      <w:r w:rsidR="00786E7F" w:rsidRPr="00D8359C">
        <w:t>design</w:t>
      </w:r>
      <w:r w:rsidR="00B50427" w:rsidRPr="00D8359C">
        <w:t xml:space="preserve"> of authority</w:t>
      </w:r>
      <w:r w:rsidRPr="00D8359C">
        <w:t xml:space="preserve"> to those individuals</w:t>
      </w:r>
    </w:p>
    <w:p w14:paraId="4996DD54" w14:textId="35CE0465" w:rsidR="00835D76" w:rsidRPr="00D8359C" w:rsidRDefault="00835D76" w:rsidP="00890BF3">
      <w:pPr>
        <w:pStyle w:val="ListParagraph"/>
        <w:widowControl w:val="0"/>
        <w:numPr>
          <w:ilvl w:val="0"/>
          <w:numId w:val="4"/>
        </w:numPr>
        <w:autoSpaceDE w:val="0"/>
        <w:autoSpaceDN w:val="0"/>
        <w:adjustRightInd w:val="0"/>
      </w:pPr>
      <w:r w:rsidRPr="00D8359C">
        <w:t xml:space="preserve">Identification of the activities that require engagement and </w:t>
      </w:r>
      <w:r w:rsidR="00977C2B" w:rsidRPr="00D8359C">
        <w:t xml:space="preserve">of </w:t>
      </w:r>
      <w:r w:rsidRPr="00D8359C">
        <w:t>the degree of engagement that is necessary</w:t>
      </w:r>
    </w:p>
    <w:p w14:paraId="1BAFDDAE" w14:textId="0C4FC465" w:rsidR="002B3D71" w:rsidRPr="00D8359C" w:rsidRDefault="00C32FE5" w:rsidP="00890BF3">
      <w:pPr>
        <w:pStyle w:val="ListParagraph"/>
        <w:numPr>
          <w:ilvl w:val="0"/>
          <w:numId w:val="4"/>
        </w:numPr>
      </w:pPr>
      <w:r w:rsidRPr="00D8359C">
        <w:t>Comprehensive, culturally appropriate information sharing</w:t>
      </w:r>
    </w:p>
    <w:p w14:paraId="2FEA2418" w14:textId="04B03E15" w:rsidR="002B3D71" w:rsidRPr="00D8359C" w:rsidRDefault="002B3D71" w:rsidP="00890BF3">
      <w:pPr>
        <w:pStyle w:val="ListParagraph"/>
        <w:numPr>
          <w:ilvl w:val="0"/>
          <w:numId w:val="4"/>
        </w:numPr>
      </w:pPr>
      <w:r w:rsidRPr="00D8359C">
        <w:t>O</w:t>
      </w:r>
      <w:r w:rsidR="00D54364" w:rsidRPr="00D8359C">
        <w:t>ngoing communication focused on relationship-building</w:t>
      </w:r>
    </w:p>
    <w:p w14:paraId="35E84ADA" w14:textId="35BC53B2" w:rsidR="002B3D71" w:rsidRPr="00D8359C" w:rsidRDefault="002B3D71" w:rsidP="00890BF3">
      <w:pPr>
        <w:pStyle w:val="ListParagraph"/>
        <w:numPr>
          <w:ilvl w:val="0"/>
          <w:numId w:val="4"/>
        </w:numPr>
      </w:pPr>
      <w:r w:rsidRPr="00D8359C">
        <w:t>A</w:t>
      </w:r>
      <w:r w:rsidR="0051590A" w:rsidRPr="00D8359C">
        <w:t xml:space="preserve"> good faith intent to reach consensus</w:t>
      </w:r>
      <w:r w:rsidR="00B50427" w:rsidRPr="00D8359C">
        <w:t xml:space="preserve"> </w:t>
      </w:r>
      <w:r w:rsidR="003B2BF4">
        <w:t>and mitigate impacts</w:t>
      </w:r>
    </w:p>
    <w:p w14:paraId="361E0523" w14:textId="1999A2EB" w:rsidR="008F11A9" w:rsidRPr="00D8359C" w:rsidRDefault="008F11A9" w:rsidP="00890BF3">
      <w:pPr>
        <w:pStyle w:val="ListParagraph"/>
        <w:numPr>
          <w:ilvl w:val="0"/>
          <w:numId w:val="4"/>
        </w:numPr>
      </w:pPr>
      <w:r w:rsidRPr="00D8359C">
        <w:t>Consent in some cases</w:t>
      </w:r>
      <w:r w:rsidR="005D082C">
        <w:rPr>
          <w:color w:val="1A1718"/>
        </w:rPr>
        <w:t xml:space="preserve"> may be required</w:t>
      </w:r>
      <w:r w:rsidR="00B66894" w:rsidRPr="00D8359C">
        <w:rPr>
          <w:color w:val="1A1718"/>
        </w:rPr>
        <w:t xml:space="preserve"> by Indigenous Peoples before activities can proceed</w:t>
      </w:r>
    </w:p>
    <w:p w14:paraId="4020C691" w14:textId="101862CB" w:rsidR="002B3D71" w:rsidRPr="00D8359C" w:rsidRDefault="002B3D71" w:rsidP="00890BF3">
      <w:pPr>
        <w:pStyle w:val="ListParagraph"/>
        <w:numPr>
          <w:ilvl w:val="0"/>
          <w:numId w:val="4"/>
        </w:numPr>
      </w:pPr>
      <w:r w:rsidRPr="00D8359C">
        <w:t>A</w:t>
      </w:r>
      <w:r w:rsidR="002A51F0" w:rsidRPr="00D8359C">
        <w:t>ccountability</w:t>
      </w:r>
      <w:r w:rsidR="00B66894" w:rsidRPr="00D8359C">
        <w:t>: measures to ensure accountability are built into the engagement process</w:t>
      </w:r>
      <w:r w:rsidR="002A51F0" w:rsidRPr="00D8359C">
        <w:t xml:space="preserve"> </w:t>
      </w:r>
    </w:p>
    <w:p w14:paraId="33B0B14D" w14:textId="3315EC0C" w:rsidR="003B2BF4" w:rsidRPr="00D8359C" w:rsidRDefault="003B2BF4" w:rsidP="003B2BF4">
      <w:pPr>
        <w:pStyle w:val="ListParagraph"/>
        <w:numPr>
          <w:ilvl w:val="0"/>
          <w:numId w:val="4"/>
        </w:numPr>
      </w:pPr>
      <w:r w:rsidRPr="00D8359C">
        <w:t xml:space="preserve">Shared economic and other benefits </w:t>
      </w:r>
    </w:p>
    <w:p w14:paraId="2CCCB94E" w14:textId="2B759752" w:rsidR="002B3D71" w:rsidRPr="00D8359C" w:rsidRDefault="002B3D71" w:rsidP="00890BF3">
      <w:pPr>
        <w:pStyle w:val="ListParagraph"/>
        <w:numPr>
          <w:ilvl w:val="0"/>
          <w:numId w:val="4"/>
        </w:numPr>
      </w:pPr>
      <w:r w:rsidRPr="00D8359C">
        <w:t>Shared decision-making</w:t>
      </w:r>
      <w:r w:rsidR="00B66894" w:rsidRPr="00D8359C">
        <w:t xml:space="preserve"> </w:t>
      </w:r>
      <w:r w:rsidR="003B2BF4" w:rsidRPr="00D8359C">
        <w:t>and management authority</w:t>
      </w:r>
      <w:r w:rsidRPr="00D8359C">
        <w:t xml:space="preserve"> </w:t>
      </w:r>
    </w:p>
    <w:p w14:paraId="103D71E0" w14:textId="0A47F6D1" w:rsidR="00B50427" w:rsidRPr="00D8359C" w:rsidRDefault="00A811DC" w:rsidP="00890BF3">
      <w:pPr>
        <w:pStyle w:val="ListParagraph"/>
        <w:numPr>
          <w:ilvl w:val="0"/>
          <w:numId w:val="4"/>
        </w:numPr>
      </w:pPr>
      <w:r>
        <w:t>Honoring</w:t>
      </w:r>
      <w:r w:rsidR="0051590A" w:rsidRPr="00D8359C">
        <w:t xml:space="preserve"> the autonomy and human rights of </w:t>
      </w:r>
      <w:r w:rsidR="00C95A84" w:rsidRPr="00D8359C">
        <w:t>Indigenous</w:t>
      </w:r>
      <w:r w:rsidR="00FC63E1" w:rsidRPr="00D8359C">
        <w:t xml:space="preserve"> Peoples</w:t>
      </w:r>
      <w:r w:rsidR="002B3D71" w:rsidRPr="00D8359C">
        <w:t xml:space="preserve"> </w:t>
      </w:r>
    </w:p>
    <w:p w14:paraId="07F73E18" w14:textId="77777777" w:rsidR="002B3D71" w:rsidRPr="00925B59" w:rsidRDefault="002B3D71" w:rsidP="002B3D71">
      <w:pPr>
        <w:pStyle w:val="ListParagraph"/>
      </w:pPr>
    </w:p>
    <w:p w14:paraId="34A8F3A2" w14:textId="3A2B3556" w:rsidR="00B50427" w:rsidRDefault="005505E8" w:rsidP="00B12B13">
      <w:r>
        <w:t>The following sections discuss e</w:t>
      </w:r>
      <w:r w:rsidR="009D7160" w:rsidRPr="00925B59">
        <w:t>ach of t</w:t>
      </w:r>
      <w:r w:rsidR="002B3D71" w:rsidRPr="00925B59">
        <w:t>hese aspects of meaningful engagement</w:t>
      </w:r>
      <w:r>
        <w:t xml:space="preserve"> in more detail. Each section begins with a</w:t>
      </w:r>
      <w:r w:rsidR="00E163D9">
        <w:t xml:space="preserve"> description of the best practice</w:t>
      </w:r>
      <w:r>
        <w:t xml:space="preserve">, then provides an overview of </w:t>
      </w:r>
      <w:r w:rsidR="00E163D9">
        <w:t xml:space="preserve">relevant </w:t>
      </w:r>
      <w:r>
        <w:t xml:space="preserve">Arctic Council’s </w:t>
      </w:r>
      <w:r w:rsidR="00E163D9">
        <w:t>recommendations</w:t>
      </w:r>
      <w:r>
        <w:t xml:space="preserve">, and finally </w:t>
      </w:r>
      <w:r w:rsidR="00E163D9">
        <w:t xml:space="preserve">presents </w:t>
      </w:r>
      <w:r w:rsidR="008B5CF8">
        <w:t xml:space="preserve">specific </w:t>
      </w:r>
      <w:r w:rsidR="00E163D9">
        <w:t xml:space="preserve">examples of these practices and recommendations from Indigenous Peoples, </w:t>
      </w:r>
      <w:r w:rsidR="008B5CF8">
        <w:t xml:space="preserve">the Arctic Council, </w:t>
      </w:r>
      <w:r w:rsidR="00E163D9">
        <w:t>businesses, NGOs, researchers and academics.</w:t>
      </w:r>
    </w:p>
    <w:p w14:paraId="166E9932" w14:textId="77777777" w:rsidR="008D3929" w:rsidRPr="00925B59" w:rsidRDefault="008D3929" w:rsidP="00B12B13"/>
    <w:p w14:paraId="509758B4" w14:textId="799A551F" w:rsidR="00B50427" w:rsidRPr="004233CD" w:rsidRDefault="005D605A" w:rsidP="004233CD">
      <w:pPr>
        <w:pStyle w:val="Heading2"/>
        <w:numPr>
          <w:ilvl w:val="0"/>
          <w:numId w:val="20"/>
        </w:numPr>
        <w:rPr>
          <w:rFonts w:ascii="Times New Roman" w:hAnsi="Times New Roman" w:cs="Times New Roman"/>
          <w:color w:val="auto"/>
          <w:sz w:val="24"/>
          <w:szCs w:val="24"/>
          <w:u w:val="single"/>
        </w:rPr>
      </w:pPr>
      <w:bookmarkStart w:id="45" w:name="_Toc334125702"/>
      <w:r w:rsidRPr="004233CD">
        <w:rPr>
          <w:rFonts w:ascii="Times New Roman" w:hAnsi="Times New Roman" w:cs="Times New Roman"/>
          <w:color w:val="auto"/>
          <w:sz w:val="24"/>
          <w:szCs w:val="24"/>
          <w:u w:val="single"/>
        </w:rPr>
        <w:t>Timeliness</w:t>
      </w:r>
      <w:bookmarkEnd w:id="45"/>
    </w:p>
    <w:p w14:paraId="5932DCD6" w14:textId="77777777" w:rsidR="00B50427" w:rsidRPr="00925B59" w:rsidRDefault="00B50427" w:rsidP="00B12B13">
      <w:pPr>
        <w:pStyle w:val="ListParagraph"/>
      </w:pPr>
    </w:p>
    <w:p w14:paraId="5744687F" w14:textId="30C089D6" w:rsidR="004E7791" w:rsidRDefault="00B50427" w:rsidP="000C3FC8">
      <w:pPr>
        <w:widowControl w:val="0"/>
        <w:autoSpaceDE w:val="0"/>
        <w:autoSpaceDN w:val="0"/>
        <w:adjustRightInd w:val="0"/>
        <w:spacing w:after="240"/>
      </w:pPr>
      <w:r w:rsidRPr="00925B59">
        <w:t xml:space="preserve">Engagement must begin at the earliest possible time, so that there are “real opportunities to </w:t>
      </w:r>
      <w:r w:rsidRPr="00925B59">
        <w:lastRenderedPageBreak/>
        <w:t>inform and influence decisions before they are made.”</w:t>
      </w:r>
      <w:r w:rsidRPr="00925B59">
        <w:rPr>
          <w:rStyle w:val="FootnoteReference"/>
        </w:rPr>
        <w:footnoteReference w:id="77"/>
      </w:r>
      <w:r w:rsidRPr="00925B59">
        <w:t xml:space="preserve"> Sometimes referred to as “prior,” this concept is a cornerstone of engagement in national and international law and a key component of successful engagement.</w:t>
      </w:r>
      <w:r w:rsidRPr="00925B59">
        <w:rPr>
          <w:rStyle w:val="FootnoteReference"/>
          <w:color w:val="070909"/>
        </w:rPr>
        <w:footnoteReference w:id="78"/>
      </w:r>
      <w:r w:rsidRPr="00925B59">
        <w:t xml:space="preserve"> </w:t>
      </w:r>
      <w:r w:rsidR="00C579DE" w:rsidRPr="00925B59">
        <w:t>“</w:t>
      </w:r>
      <w:r w:rsidR="005D3179" w:rsidRPr="00925B59">
        <w:t>Prior</w:t>
      </w:r>
      <w:r w:rsidR="00C579DE" w:rsidRPr="00925B59">
        <w:t>”</w:t>
      </w:r>
      <w:r w:rsidR="005D3179" w:rsidRPr="00925B59">
        <w:t xml:space="preserve"> means initiating engagement well in advance of proposed activities and providing </w:t>
      </w:r>
      <w:r w:rsidR="00C95A84">
        <w:t>Indigenous</w:t>
      </w:r>
      <w:r w:rsidR="00FC63E1">
        <w:t xml:space="preserve"> Peoples</w:t>
      </w:r>
      <w:r w:rsidR="005D3179" w:rsidRPr="00925B59">
        <w:t xml:space="preserve"> </w:t>
      </w:r>
      <w:r w:rsidR="00244E83" w:rsidRPr="00925B59">
        <w:t xml:space="preserve">and communities </w:t>
      </w:r>
      <w:r w:rsidR="005D3179" w:rsidRPr="00925B59">
        <w:t>with the time th</w:t>
      </w:r>
      <w:r w:rsidR="003F2425">
        <w:t>ey need to</w:t>
      </w:r>
      <w:r w:rsidR="00EC594B">
        <w:t xml:space="preserve"> develop and build relations,</w:t>
      </w:r>
      <w:r w:rsidR="003F2425">
        <w:t xml:space="preserve"> consider </w:t>
      </w:r>
      <w:r w:rsidR="00EC594B">
        <w:t xml:space="preserve">all relevant information, and make decisions. </w:t>
      </w:r>
    </w:p>
    <w:p w14:paraId="6168E181" w14:textId="05651D79" w:rsidR="00B50427" w:rsidRPr="00925B59" w:rsidRDefault="004E7791" w:rsidP="000C3FC8">
      <w:pPr>
        <w:widowControl w:val="0"/>
        <w:autoSpaceDE w:val="0"/>
        <w:autoSpaceDN w:val="0"/>
        <w:adjustRightInd w:val="0"/>
        <w:spacing w:after="240"/>
        <w:rPr>
          <w:lang w:val="en-US"/>
        </w:rPr>
      </w:pPr>
      <w:r>
        <w:t xml:space="preserve">The Arctic Council </w:t>
      </w:r>
      <w:r w:rsidR="008B5CF8">
        <w:t>has made various recommendations for prior, timely engagement.</w:t>
      </w:r>
      <w:bookmarkStart w:id="46" w:name="_Ref333994849"/>
      <w:r w:rsidR="008B5CF8">
        <w:rPr>
          <w:rStyle w:val="FootnoteReference"/>
        </w:rPr>
        <w:footnoteReference w:id="79"/>
      </w:r>
      <w:bookmarkEnd w:id="46"/>
      <w:r w:rsidR="00A26FCB">
        <w:t xml:space="preserve"> </w:t>
      </w:r>
      <w:r w:rsidR="00D8158D">
        <w:t>The Arctic Council has noted the need for this practice in planning its own projects</w:t>
      </w:r>
      <w:r w:rsidR="006F6D92">
        <w:rPr>
          <w:rStyle w:val="FootnoteReference"/>
        </w:rPr>
        <w:footnoteReference w:id="80"/>
      </w:r>
      <w:r w:rsidR="00D8158D">
        <w:t xml:space="preserve"> and has recommended the same for other entities engaged in Arctic activities.</w:t>
      </w:r>
      <w:bookmarkStart w:id="47" w:name="_Ref333605256"/>
      <w:r w:rsidR="00D41678">
        <w:rPr>
          <w:rStyle w:val="FootnoteReference"/>
        </w:rPr>
        <w:footnoteReference w:id="81"/>
      </w:r>
      <w:bookmarkEnd w:id="47"/>
      <w:r w:rsidR="00D8158D">
        <w:t xml:space="preserve"> </w:t>
      </w:r>
      <w:r w:rsidR="00A26FCB">
        <w:t>These recommendations emphasize the importance of allowing adequate time for</w:t>
      </w:r>
      <w:r w:rsidR="00D8158D">
        <w:t xml:space="preserve"> engagement to allow </w:t>
      </w:r>
      <w:r w:rsidR="00A26FCB">
        <w:t xml:space="preserve">relationships to develop, to improve </w:t>
      </w:r>
      <w:r w:rsidR="002626E9">
        <w:t xml:space="preserve">broad, strategic planning as well as specific </w:t>
      </w:r>
      <w:r w:rsidR="00A26FCB">
        <w:t xml:space="preserve">project </w:t>
      </w:r>
      <w:r w:rsidR="002626E9">
        <w:t>plans</w:t>
      </w:r>
      <w:r w:rsidR="00A26FCB">
        <w:t>, and to ensure the legitimacy of the decision-making process.</w:t>
      </w:r>
      <w:r w:rsidR="00D8158D">
        <w:t xml:space="preserve"> </w:t>
      </w:r>
    </w:p>
    <w:p w14:paraId="5A2AC57A" w14:textId="635D19D0" w:rsidR="005B3C66" w:rsidRDefault="005B3C66" w:rsidP="00047D4F">
      <w:pPr>
        <w:pStyle w:val="Heading3"/>
        <w:numPr>
          <w:ilvl w:val="0"/>
          <w:numId w:val="22"/>
        </w:numPr>
        <w:rPr>
          <w:rFonts w:ascii="Times New Roman" w:hAnsi="Times New Roman" w:cs="Times New Roman"/>
          <w:b w:val="0"/>
          <w:color w:val="auto"/>
          <w:lang w:val="en-US"/>
        </w:rPr>
      </w:pPr>
      <w:bookmarkStart w:id="48" w:name="_Toc334125703"/>
      <w:r w:rsidRPr="00256CF2">
        <w:rPr>
          <w:rFonts w:ascii="Times New Roman" w:hAnsi="Times New Roman" w:cs="Times New Roman"/>
          <w:b w:val="0"/>
          <w:color w:val="auto"/>
          <w:lang w:val="en-US"/>
        </w:rPr>
        <w:t>Early stage of decision-making and planning</w:t>
      </w:r>
      <w:bookmarkEnd w:id="48"/>
    </w:p>
    <w:p w14:paraId="5D2A1186" w14:textId="77777777" w:rsidR="00256CF2" w:rsidRPr="00256CF2" w:rsidRDefault="00256CF2" w:rsidP="00256CF2"/>
    <w:p w14:paraId="14289FB2" w14:textId="5D251AEB" w:rsidR="009D1D11" w:rsidRPr="00925B59" w:rsidRDefault="00FE2744" w:rsidP="009D1D11">
      <w:pPr>
        <w:widowControl w:val="0"/>
        <w:autoSpaceDE w:val="0"/>
        <w:autoSpaceDN w:val="0"/>
        <w:adjustRightInd w:val="0"/>
      </w:pPr>
      <w:r>
        <w:t xml:space="preserve">Engagement between Indigenous Peoples and others must begin as early as possible. </w:t>
      </w:r>
      <w:r w:rsidR="009D1D11">
        <w:t>W</w:t>
      </w:r>
      <w:r w:rsidR="009D1D11" w:rsidRPr="00925B59">
        <w:t xml:space="preserve">hen </w:t>
      </w:r>
      <w:r w:rsidR="009D1D11">
        <w:t>Indigenous Peoples</w:t>
      </w:r>
      <w:r w:rsidR="009D1D11" w:rsidRPr="00925B59">
        <w:t xml:space="preserve"> and communities are engaged at a</w:t>
      </w:r>
      <w:r w:rsidR="009D1D11">
        <w:t>n early,</w:t>
      </w:r>
      <w:r w:rsidR="009D1D11" w:rsidRPr="00925B59">
        <w:t xml:space="preserve"> strategic or high level of decision-making, they have more influence, or fate control, over the decisions that affect their interests, rights, and ultimately their future. The ability to exercise this influence is a fundamental aspect of well-being and human development in the Arctic.</w:t>
      </w:r>
      <w:r w:rsidR="009D1D11" w:rsidRPr="00925B59">
        <w:rPr>
          <w:rStyle w:val="FootnoteReference"/>
        </w:rPr>
        <w:footnoteReference w:id="82"/>
      </w:r>
      <w:r w:rsidR="009D1D11" w:rsidRPr="00925B59">
        <w:t xml:space="preserve"> Another advantage is that, at this stage, all parties involved can have a better understanding of cumulative effects at broader regional scales and there is a higher likelihood that those effects can be adequately mitigated. Finally, </w:t>
      </w:r>
      <w:r w:rsidR="009D1D11">
        <w:t>Indigenous</w:t>
      </w:r>
      <w:r w:rsidR="009D1D11" w:rsidRPr="00925B59">
        <w:t xml:space="preserve"> engagement for strategic-level planning can help to ensure that engagement itself is more effective and efficient, reducing the burden on </w:t>
      </w:r>
      <w:r w:rsidR="009D1D11">
        <w:t>Indigenous</w:t>
      </w:r>
      <w:r w:rsidR="009D1D11" w:rsidRPr="00925B59">
        <w:t xml:space="preserve"> communities. </w:t>
      </w:r>
    </w:p>
    <w:p w14:paraId="24A354A6" w14:textId="77777777" w:rsidR="009D1D11" w:rsidRDefault="009D1D11" w:rsidP="00E81359">
      <w:pPr>
        <w:widowControl w:val="0"/>
        <w:autoSpaceDE w:val="0"/>
        <w:autoSpaceDN w:val="0"/>
        <w:adjustRightInd w:val="0"/>
      </w:pPr>
    </w:p>
    <w:p w14:paraId="07EEEC9F" w14:textId="34ACC555" w:rsidR="00FC0E1D" w:rsidRPr="00FE3776" w:rsidRDefault="00FC0E1D" w:rsidP="00E81359">
      <w:pPr>
        <w:widowControl w:val="0"/>
        <w:autoSpaceDE w:val="0"/>
        <w:autoSpaceDN w:val="0"/>
        <w:adjustRightInd w:val="0"/>
      </w:pPr>
      <w:r>
        <w:rPr>
          <w:iCs/>
        </w:rPr>
        <w:t>The Arctic Council involves Permanent Participants at an early stage of conducting its assessments. For example, in preparation for the Arctic Marine Shipping Assessment, Canada prepared an analysis of the impacts of increased shipping on Indigenous Peoples, and consulted with Permanent Participants while conducting this research.</w:t>
      </w:r>
      <w:r>
        <w:rPr>
          <w:rStyle w:val="FootnoteReference"/>
          <w:iCs/>
        </w:rPr>
        <w:footnoteReference w:id="83"/>
      </w:r>
      <w:r w:rsidR="00FE3776" w:rsidRPr="00FE3776">
        <w:t xml:space="preserve"> </w:t>
      </w:r>
      <w:r w:rsidR="00FE3776" w:rsidRPr="00925B59">
        <w:t xml:space="preserve">The </w:t>
      </w:r>
      <w:r w:rsidR="00FE3776">
        <w:t>Sustainable Development Working Group has recommended that for Arctic Council</w:t>
      </w:r>
      <w:r w:rsidR="00FE3776" w:rsidRPr="00925B59">
        <w:t xml:space="preserve"> projects, </w:t>
      </w:r>
      <w:r w:rsidR="00FE3776">
        <w:t>Indigenous Knowledge</w:t>
      </w:r>
      <w:r w:rsidR="00FE3776" w:rsidRPr="00925B59">
        <w:t xml:space="preserve"> considerations should be incorporated at the outset, so that every project proposal or outl</w:t>
      </w:r>
      <w:r w:rsidR="00FE3776">
        <w:t>ine described how it will use Indigenous Knowledge</w:t>
      </w:r>
      <w:r w:rsidR="00FE3776" w:rsidRPr="00925B59">
        <w:t xml:space="preserve"> in the project or explain </w:t>
      </w:r>
      <w:r w:rsidR="00FE3776">
        <w:t>why Indigenous Knowledge</w:t>
      </w:r>
      <w:r w:rsidR="00FE3776" w:rsidRPr="00925B59">
        <w:t xml:space="preserve"> is not relevant.</w:t>
      </w:r>
      <w:r w:rsidR="00FE3776" w:rsidRPr="00925B59">
        <w:rPr>
          <w:rStyle w:val="FootnoteReference"/>
        </w:rPr>
        <w:footnoteReference w:id="84"/>
      </w:r>
      <w:r w:rsidR="00FE3776" w:rsidRPr="00A00107">
        <w:t xml:space="preserve"> </w:t>
      </w:r>
    </w:p>
    <w:p w14:paraId="165AE247" w14:textId="77777777" w:rsidR="00FC0E1D" w:rsidRDefault="00FC0E1D" w:rsidP="00E81359">
      <w:pPr>
        <w:widowControl w:val="0"/>
        <w:autoSpaceDE w:val="0"/>
        <w:autoSpaceDN w:val="0"/>
        <w:adjustRightInd w:val="0"/>
        <w:rPr>
          <w:iCs/>
        </w:rPr>
      </w:pPr>
    </w:p>
    <w:p w14:paraId="0AE1802E" w14:textId="5C9A1852" w:rsidR="00011040" w:rsidRDefault="00A23D37" w:rsidP="00E81359">
      <w:pPr>
        <w:widowControl w:val="0"/>
        <w:autoSpaceDE w:val="0"/>
        <w:autoSpaceDN w:val="0"/>
        <w:adjustRightInd w:val="0"/>
      </w:pPr>
      <w:r>
        <w:t>Indigenous</w:t>
      </w:r>
      <w:r w:rsidRPr="00925B59">
        <w:t xml:space="preserve"> protocols for consultation specifically identify strategic and long-term planning as stages during which consultation is expected.</w:t>
      </w:r>
      <w:r w:rsidRPr="00925B59">
        <w:rPr>
          <w:rStyle w:val="FootnoteReference"/>
        </w:rPr>
        <w:footnoteReference w:id="85"/>
      </w:r>
      <w:r>
        <w:t xml:space="preserve"> </w:t>
      </w:r>
      <w:r w:rsidR="00DB4330">
        <w:rPr>
          <w:iCs/>
        </w:rPr>
        <w:t xml:space="preserve">Other organizations also support the need for timely engagement. </w:t>
      </w:r>
      <w:r w:rsidR="00E81359" w:rsidRPr="00925B59">
        <w:rPr>
          <w:iCs/>
        </w:rPr>
        <w:t>For research, development, and conservation projects, the earlie</w:t>
      </w:r>
      <w:r w:rsidR="00321A43">
        <w:rPr>
          <w:iCs/>
        </w:rPr>
        <w:t>st opportunity for engagement</w:t>
      </w:r>
      <w:r w:rsidR="00E81359" w:rsidRPr="00925B59">
        <w:rPr>
          <w:iCs/>
        </w:rPr>
        <w:t xml:space="preserve"> </w:t>
      </w:r>
      <w:r w:rsidR="00321A43">
        <w:rPr>
          <w:iCs/>
        </w:rPr>
        <w:t>is before a project is</w:t>
      </w:r>
      <w:r w:rsidR="00E81359" w:rsidRPr="00925B59">
        <w:rPr>
          <w:iCs/>
        </w:rPr>
        <w:t xml:space="preserve"> planned, and certainly before activities start.</w:t>
      </w:r>
      <w:r w:rsidR="00E81359" w:rsidRPr="00925B59">
        <w:rPr>
          <w:rStyle w:val="FootnoteReference"/>
          <w:iCs/>
        </w:rPr>
        <w:footnoteReference w:id="86"/>
      </w:r>
      <w:r w:rsidR="00E81359" w:rsidRPr="00925B59">
        <w:rPr>
          <w:iCs/>
        </w:rPr>
        <w:t xml:space="preserve"> Some researchers seek consent before submitting applications for funding a project in an </w:t>
      </w:r>
      <w:r w:rsidR="00E81359">
        <w:rPr>
          <w:iCs/>
        </w:rPr>
        <w:t>Indigenous</w:t>
      </w:r>
      <w:r w:rsidR="00E81359" w:rsidRPr="00925B59">
        <w:rPr>
          <w:iCs/>
        </w:rPr>
        <w:t xml:space="preserve"> community.</w:t>
      </w:r>
      <w:bookmarkStart w:id="49" w:name="_Ref334006869"/>
      <w:r w:rsidR="00E81359" w:rsidRPr="00925B59">
        <w:rPr>
          <w:rStyle w:val="FootnoteReference"/>
          <w:iCs/>
        </w:rPr>
        <w:footnoteReference w:id="87"/>
      </w:r>
      <w:bookmarkEnd w:id="49"/>
      <w:r w:rsidR="00E81359" w:rsidRPr="00925B59">
        <w:rPr>
          <w:iCs/>
        </w:rPr>
        <w:t xml:space="preserve"> </w:t>
      </w:r>
      <w:r w:rsidR="00011040">
        <w:t>Companies</w:t>
      </w:r>
      <w:r w:rsidR="00FE3776">
        <w:t xml:space="preserve"> can</w:t>
      </w:r>
      <w:r w:rsidR="00011040" w:rsidRPr="00925B59">
        <w:t xml:space="preserve"> also begin engagement, as well as an assessment of the project’s potential impacts and benefits, as early as possible.</w:t>
      </w:r>
      <w:bookmarkStart w:id="50" w:name="_Ref334100176"/>
      <w:r w:rsidR="00011040" w:rsidRPr="00925B59">
        <w:rPr>
          <w:rStyle w:val="FootnoteReference"/>
        </w:rPr>
        <w:footnoteReference w:id="88"/>
      </w:r>
      <w:bookmarkEnd w:id="50"/>
      <w:r w:rsidR="00011040" w:rsidRPr="00925B59">
        <w:t xml:space="preserve"> Engagement during the project-planning stage by </w:t>
      </w:r>
      <w:r w:rsidR="00011040">
        <w:t>companies</w:t>
      </w:r>
      <w:r w:rsidR="00011040" w:rsidRPr="00925B59">
        <w:t xml:space="preserve"> is important for establishing good will. In a study about the engagement practices of mining companies in Sweden, much of the trust established between the community and the mining company developed out of the significant work done by company owners and executives early in the process.</w:t>
      </w:r>
      <w:r w:rsidR="00011040" w:rsidRPr="00925B59">
        <w:rPr>
          <w:rStyle w:val="FootnoteReference"/>
        </w:rPr>
        <w:footnoteReference w:id="89"/>
      </w:r>
      <w:r w:rsidR="00011040" w:rsidRPr="00925B59">
        <w:t xml:space="preserve"> </w:t>
      </w:r>
      <w:r w:rsidR="00F23207" w:rsidRPr="00925B59">
        <w:t xml:space="preserve">As the Sustainable Development Working Group recommends, </w:t>
      </w:r>
      <w:r w:rsidR="00F23207" w:rsidRPr="00925B59">
        <w:rPr>
          <w:rFonts w:eastAsia="Times New Roman"/>
          <w:color w:val="000000"/>
          <w:lang w:val="en-US"/>
        </w:rPr>
        <w:t>“companies are encouraged to consult with community leaders and to work with them to communicate with the local population early in the planning stages of the project.”</w:t>
      </w:r>
      <w:r w:rsidR="00F23207" w:rsidRPr="00925B59">
        <w:rPr>
          <w:rStyle w:val="FootnoteReference"/>
          <w:rFonts w:eastAsia="Times New Roman"/>
          <w:color w:val="000000"/>
          <w:lang w:val="en-US"/>
        </w:rPr>
        <w:footnoteReference w:id="90"/>
      </w:r>
    </w:p>
    <w:p w14:paraId="4EB7AAB9" w14:textId="77777777" w:rsidR="00011040" w:rsidRDefault="00011040" w:rsidP="00E81359">
      <w:pPr>
        <w:widowControl w:val="0"/>
        <w:autoSpaceDE w:val="0"/>
        <w:autoSpaceDN w:val="0"/>
        <w:adjustRightInd w:val="0"/>
      </w:pPr>
    </w:p>
    <w:p w14:paraId="4916EA7E" w14:textId="59FB276E" w:rsidR="008C60CE" w:rsidRDefault="008C60CE" w:rsidP="008C60CE">
      <w:pPr>
        <w:widowControl w:val="0"/>
        <w:autoSpaceDE w:val="0"/>
        <w:autoSpaceDN w:val="0"/>
        <w:adjustRightInd w:val="0"/>
        <w:rPr>
          <w:iCs/>
        </w:rPr>
      </w:pPr>
      <w:r w:rsidRPr="00925B59">
        <w:t xml:space="preserve">For government decision-making, the earliest opportunity for engagement is often through processes that relate to broad and strategic decisions about how an area will be used and managed. </w:t>
      </w:r>
      <w:r w:rsidRPr="00925B59">
        <w:rPr>
          <w:iCs/>
        </w:rPr>
        <w:t xml:space="preserve">It is at this stage when fundamental decisions are made, such as </w:t>
      </w:r>
      <w:r w:rsidRPr="00925B59">
        <w:t xml:space="preserve">whether and what kind of development is appropriate. Governments may make these decisions through regional strategic environmental assessments, which are </w:t>
      </w:r>
      <w:r w:rsidRPr="00925B59">
        <w:rPr>
          <w:iCs/>
        </w:rPr>
        <w:t>a process designed to systematically assess the potential environmental</w:t>
      </w:r>
      <w:r w:rsidR="00A25BFC">
        <w:rPr>
          <w:iCs/>
        </w:rPr>
        <w:t xml:space="preserve"> and </w:t>
      </w:r>
      <w:r w:rsidR="00FC3C25">
        <w:rPr>
          <w:iCs/>
        </w:rPr>
        <w:t>socioeconomic</w:t>
      </w:r>
      <w:r w:rsidRPr="00925B59">
        <w:rPr>
          <w:iCs/>
        </w:rPr>
        <w:t xml:space="preserve"> effects, including cumulative effects, of alternative strategic initiatives, policies, plans, or programs for a particular region.</w:t>
      </w:r>
      <w:r w:rsidRPr="00925B59">
        <w:rPr>
          <w:rStyle w:val="FootnoteReference"/>
          <w:iCs/>
        </w:rPr>
        <w:footnoteReference w:id="91"/>
      </w:r>
      <w:r w:rsidRPr="00925B59">
        <w:rPr>
          <w:iCs/>
        </w:rPr>
        <w:t xml:space="preserve"> </w:t>
      </w:r>
      <w:r w:rsidR="00021565">
        <w:rPr>
          <w:iCs/>
        </w:rPr>
        <w:t>The Arctic Council recommends the use of Indigenous Knowledge and meaningful stakeholder and public involvement at the SEA stage.</w:t>
      </w:r>
      <w:r w:rsidR="00021565">
        <w:rPr>
          <w:rStyle w:val="FootnoteReference"/>
          <w:iCs/>
        </w:rPr>
        <w:footnoteReference w:id="92"/>
      </w:r>
      <w:r w:rsidR="00021565">
        <w:rPr>
          <w:iCs/>
        </w:rPr>
        <w:t xml:space="preserve"> </w:t>
      </w:r>
      <w:r w:rsidRPr="00925B59">
        <w:rPr>
          <w:iCs/>
        </w:rPr>
        <w:t>Government decision-making rel</w:t>
      </w:r>
      <w:r w:rsidR="00B97B55">
        <w:rPr>
          <w:iCs/>
        </w:rPr>
        <w:t xml:space="preserve">ated to policies </w:t>
      </w:r>
      <w:r w:rsidRPr="00925B59">
        <w:rPr>
          <w:iCs/>
        </w:rPr>
        <w:t xml:space="preserve">at </w:t>
      </w:r>
      <w:r w:rsidR="00B97B55">
        <w:rPr>
          <w:iCs/>
        </w:rPr>
        <w:t xml:space="preserve">the </w:t>
      </w:r>
      <w:proofErr w:type="spellStart"/>
      <w:r w:rsidRPr="00925B59">
        <w:rPr>
          <w:iCs/>
        </w:rPr>
        <w:t>circum</w:t>
      </w:r>
      <w:proofErr w:type="spellEnd"/>
      <w:r w:rsidRPr="00925B59">
        <w:rPr>
          <w:iCs/>
        </w:rPr>
        <w:t xml:space="preserve">-Arctic level, such as at the Arctic Council or </w:t>
      </w:r>
      <w:r w:rsidR="00866142">
        <w:rPr>
          <w:iCs/>
        </w:rPr>
        <w:t xml:space="preserve">in </w:t>
      </w:r>
      <w:r w:rsidR="00B97B55">
        <w:rPr>
          <w:iCs/>
        </w:rPr>
        <w:t xml:space="preserve">other </w:t>
      </w:r>
      <w:r w:rsidRPr="00925B59">
        <w:rPr>
          <w:iCs/>
        </w:rPr>
        <w:t>for</w:t>
      </w:r>
      <w:r w:rsidR="00866142">
        <w:rPr>
          <w:iCs/>
        </w:rPr>
        <w:t>ums for</w:t>
      </w:r>
      <w:r w:rsidRPr="00925B59">
        <w:rPr>
          <w:iCs/>
        </w:rPr>
        <w:t xml:space="preserve"> international cooperation on Arctic issues, is also an important early opportunity to involve </w:t>
      </w:r>
      <w:r>
        <w:rPr>
          <w:iCs/>
        </w:rPr>
        <w:t>Indigenous Peoples</w:t>
      </w:r>
      <w:r w:rsidRPr="00925B59">
        <w:rPr>
          <w:iCs/>
        </w:rPr>
        <w:t>.</w:t>
      </w:r>
      <w:bookmarkStart w:id="51" w:name="_Ref333385533"/>
      <w:r w:rsidRPr="00925B59">
        <w:rPr>
          <w:rStyle w:val="FootnoteReference"/>
          <w:iCs/>
        </w:rPr>
        <w:footnoteReference w:id="93"/>
      </w:r>
      <w:bookmarkEnd w:id="51"/>
      <w:r w:rsidRPr="00925B59">
        <w:rPr>
          <w:iCs/>
        </w:rPr>
        <w:t xml:space="preserve"> Certain global policy-making processes, such as those related to climate change, also have direct implications for </w:t>
      </w:r>
      <w:r>
        <w:rPr>
          <w:iCs/>
        </w:rPr>
        <w:t>Indigenous Peoples</w:t>
      </w:r>
      <w:r w:rsidRPr="00925B59">
        <w:rPr>
          <w:iCs/>
        </w:rPr>
        <w:t xml:space="preserve"> in the Arctic and engagement at these levels is also warranted.</w:t>
      </w:r>
      <w:bookmarkStart w:id="52" w:name="_Ref334008729"/>
      <w:r w:rsidRPr="00925B59">
        <w:rPr>
          <w:rStyle w:val="FootnoteReference"/>
          <w:iCs/>
        </w:rPr>
        <w:footnoteReference w:id="94"/>
      </w:r>
      <w:bookmarkEnd w:id="52"/>
      <w:r w:rsidRPr="00925B59">
        <w:rPr>
          <w:iCs/>
        </w:rPr>
        <w:t xml:space="preserve"> </w:t>
      </w:r>
    </w:p>
    <w:p w14:paraId="0F2ED1EC" w14:textId="77777777" w:rsidR="008C60CE" w:rsidRPr="00925B59" w:rsidRDefault="008C60CE" w:rsidP="008C60CE"/>
    <w:p w14:paraId="1237FEAA" w14:textId="30A75B70" w:rsidR="008C60CE" w:rsidRDefault="008C60CE" w:rsidP="008C60CE">
      <w:pPr>
        <w:widowControl w:val="0"/>
        <w:autoSpaceDE w:val="0"/>
        <w:autoSpaceDN w:val="0"/>
        <w:adjustRightInd w:val="0"/>
        <w:rPr>
          <w:color w:val="1D1D1D"/>
          <w:lang w:val="en-US"/>
        </w:rPr>
      </w:pPr>
      <w:r w:rsidRPr="00925B59">
        <w:rPr>
          <w:color w:val="070909"/>
        </w:rPr>
        <w:t>Not al</w:t>
      </w:r>
      <w:r w:rsidR="00B50376">
        <w:rPr>
          <w:color w:val="070909"/>
        </w:rPr>
        <w:t xml:space="preserve">l Arctic governments have </w:t>
      </w:r>
      <w:r w:rsidRPr="00925B59">
        <w:rPr>
          <w:color w:val="070909"/>
        </w:rPr>
        <w:t xml:space="preserve">frameworks providing for </w:t>
      </w:r>
      <w:r>
        <w:rPr>
          <w:color w:val="070909"/>
        </w:rPr>
        <w:t>Indigenous</w:t>
      </w:r>
      <w:r w:rsidRPr="00925B59">
        <w:rPr>
          <w:color w:val="070909"/>
        </w:rPr>
        <w:t xml:space="preserve"> engagement at these broad, strategic levels. Even so, inclusion of </w:t>
      </w:r>
      <w:r>
        <w:rPr>
          <w:color w:val="070909"/>
        </w:rPr>
        <w:t>Indigenous Peoples</w:t>
      </w:r>
      <w:r w:rsidRPr="00925B59">
        <w:rPr>
          <w:color w:val="070909"/>
        </w:rPr>
        <w:t xml:space="preserve"> and communities at this stage is good practice because, as the U.S. </w:t>
      </w:r>
      <w:r w:rsidRPr="00925B59">
        <w:t xml:space="preserve">National Association of Tribal Historic Preservation Officers explains, </w:t>
      </w:r>
      <w:r w:rsidRPr="00925B59">
        <w:rPr>
          <w:color w:val="070909"/>
        </w:rPr>
        <w:t>it helps to ensure that the government’s plans will be realistic, comprehensive and durable.</w:t>
      </w:r>
      <w:r w:rsidRPr="00925B59">
        <w:rPr>
          <w:rStyle w:val="FootnoteReference"/>
          <w:color w:val="070909"/>
        </w:rPr>
        <w:footnoteReference w:id="95"/>
      </w:r>
      <w:r w:rsidRPr="00925B59">
        <w:rPr>
          <w:color w:val="070909"/>
        </w:rPr>
        <w:t xml:space="preserve"> </w:t>
      </w:r>
      <w:r w:rsidRPr="00925B59">
        <w:rPr>
          <w:color w:val="1D1D1D"/>
          <w:lang w:val="en-US"/>
        </w:rPr>
        <w:t xml:space="preserve">Additionally the ILO points out that if </w:t>
      </w:r>
      <w:r>
        <w:rPr>
          <w:color w:val="1D1D1D"/>
          <w:lang w:val="en-US"/>
        </w:rPr>
        <w:t>Indigenous Peoples</w:t>
      </w:r>
      <w:r w:rsidRPr="00925B59">
        <w:rPr>
          <w:color w:val="1D1D1D"/>
          <w:lang w:val="en-US"/>
        </w:rPr>
        <w:t>’ rights are reflected in broader policies, “it will likely be easier to reach agreement and consent on specific measures or projects affecting their lands and territories.”</w:t>
      </w:r>
      <w:bookmarkStart w:id="53" w:name="_Ref333349219"/>
      <w:r w:rsidRPr="00925B59">
        <w:rPr>
          <w:rStyle w:val="FootnoteReference"/>
          <w:color w:val="1D1D1D"/>
          <w:lang w:val="en-US"/>
        </w:rPr>
        <w:footnoteReference w:id="96"/>
      </w:r>
      <w:bookmarkEnd w:id="53"/>
    </w:p>
    <w:p w14:paraId="09316E84" w14:textId="77777777" w:rsidR="008C60CE" w:rsidRPr="00925B59" w:rsidRDefault="008C60CE" w:rsidP="008C60CE">
      <w:pPr>
        <w:widowControl w:val="0"/>
        <w:autoSpaceDE w:val="0"/>
        <w:autoSpaceDN w:val="0"/>
        <w:adjustRightInd w:val="0"/>
        <w:rPr>
          <w:lang w:val="en-US"/>
        </w:rPr>
      </w:pPr>
    </w:p>
    <w:p w14:paraId="47FA589D" w14:textId="289BB849" w:rsidR="0061727C" w:rsidRDefault="008C60CE" w:rsidP="008C60CE">
      <w:pPr>
        <w:rPr>
          <w:color w:val="1D1D1D"/>
          <w:lang w:val="en-US"/>
        </w:rPr>
      </w:pPr>
      <w:r w:rsidRPr="00925B59">
        <w:t>Some governments do not require consultation</w:t>
      </w:r>
      <w:r w:rsidR="00B50376">
        <w:t xml:space="preserve"> at the earliest stage, such as</w:t>
      </w:r>
      <w:r w:rsidRPr="00925B59">
        <w:t xml:space="preserve"> before tendering concessions or approving exploration for extra</w:t>
      </w:r>
      <w:r w:rsidR="00A23D37">
        <w:t xml:space="preserve">ctive activities. </w:t>
      </w:r>
      <w:r w:rsidR="0061727C" w:rsidRPr="00925B59">
        <w:t xml:space="preserve">When, exactly, a proposed activity may affect </w:t>
      </w:r>
      <w:r w:rsidR="0061727C">
        <w:t>Indigenous Peoples</w:t>
      </w:r>
      <w:r w:rsidR="0061727C" w:rsidRPr="00925B59">
        <w:t xml:space="preserve"> and therefore require </w:t>
      </w:r>
      <w:r w:rsidR="0061727C">
        <w:t>engagement</w:t>
      </w:r>
      <w:r w:rsidR="0061727C" w:rsidRPr="00925B59">
        <w:t xml:space="preserve"> might vary substantially by activity and context.</w:t>
      </w:r>
      <w:r w:rsidR="0061727C" w:rsidRPr="00925B59">
        <w:rPr>
          <w:rStyle w:val="FootnoteReference"/>
        </w:rPr>
        <w:footnoteReference w:id="97"/>
      </w:r>
      <w:r w:rsidR="0061727C" w:rsidRPr="00925B59">
        <w:t xml:space="preserve"> </w:t>
      </w:r>
      <w:r w:rsidR="0061727C" w:rsidRPr="00925B59">
        <w:rPr>
          <w:lang w:val="en-US"/>
        </w:rPr>
        <w:t>However,</w:t>
      </w:r>
      <w:r w:rsidR="0061727C" w:rsidRPr="00925B59">
        <w:t xml:space="preserve"> “to consistently meet the minimum standards that regional human rights courts, national courts, and U.N. treaty bodies might impose, companies would be well-advised to ensure that consent has been obtained before exploration begins. Such an approach also provides a solid footing for long-term relations with the affected communities.”</w:t>
      </w:r>
      <w:r w:rsidR="0061727C" w:rsidRPr="00925B59">
        <w:rPr>
          <w:rStyle w:val="FootnoteReference"/>
        </w:rPr>
        <w:footnoteReference w:id="98"/>
      </w:r>
      <w:r w:rsidR="0061727C" w:rsidRPr="00925B59">
        <w:t xml:space="preserve"> </w:t>
      </w:r>
      <w:r w:rsidR="0061727C">
        <w:t>T</w:t>
      </w:r>
      <w:r w:rsidR="00A23D37">
        <w:t>he I</w:t>
      </w:r>
      <w:r w:rsidRPr="00925B59">
        <w:t xml:space="preserve">LO handbook </w:t>
      </w:r>
      <w:r w:rsidR="00A23D37">
        <w:t xml:space="preserve">advises, </w:t>
      </w:r>
      <w:r w:rsidRPr="00925B59">
        <w:t>“</w:t>
      </w:r>
      <w:r>
        <w:rPr>
          <w:color w:val="1D1D1D"/>
          <w:lang w:val="en-US"/>
        </w:rPr>
        <w:t>Indigenous Peoples</w:t>
      </w:r>
      <w:r w:rsidRPr="00925B59">
        <w:rPr>
          <w:color w:val="1D1D1D"/>
          <w:lang w:val="en-US"/>
        </w:rPr>
        <w:t xml:space="preserve"> must be informed, consulted and participate from the very outset of a planned intervention, including before concessions or licenses are granted to operators.”</w:t>
      </w:r>
      <w:r w:rsidRPr="00925B59">
        <w:rPr>
          <w:rStyle w:val="FootnoteReference"/>
          <w:color w:val="1D1D1D"/>
          <w:lang w:val="en-US"/>
        </w:rPr>
        <w:footnoteReference w:id="99"/>
      </w:r>
      <w:r w:rsidRPr="00925B59">
        <w:rPr>
          <w:color w:val="1D1D1D"/>
          <w:lang w:val="en-US"/>
        </w:rPr>
        <w:t xml:space="preserve"> </w:t>
      </w:r>
      <w:r>
        <w:rPr>
          <w:color w:val="1D1D1D"/>
          <w:lang w:val="en-US"/>
        </w:rPr>
        <w:t xml:space="preserve">The Arctic Council </w:t>
      </w:r>
      <w:r w:rsidRPr="00925B59">
        <w:rPr>
          <w:color w:val="1D1D1D"/>
          <w:lang w:val="en-US"/>
        </w:rPr>
        <w:t>A</w:t>
      </w:r>
      <w:r>
        <w:rPr>
          <w:color w:val="1D1D1D"/>
          <w:lang w:val="en-US"/>
        </w:rPr>
        <w:t xml:space="preserve">rctic Monitoring and Assessment </w:t>
      </w:r>
      <w:proofErr w:type="spellStart"/>
      <w:r>
        <w:rPr>
          <w:color w:val="1D1D1D"/>
          <w:lang w:val="en-US"/>
        </w:rPr>
        <w:t>Programme</w:t>
      </w:r>
      <w:proofErr w:type="spellEnd"/>
      <w:r>
        <w:rPr>
          <w:color w:val="1D1D1D"/>
          <w:lang w:val="en-US"/>
        </w:rPr>
        <w:t xml:space="preserve"> (A</w:t>
      </w:r>
      <w:r w:rsidRPr="00925B59">
        <w:rPr>
          <w:color w:val="1D1D1D"/>
          <w:lang w:val="en-US"/>
        </w:rPr>
        <w:t>MAP</w:t>
      </w:r>
      <w:r>
        <w:rPr>
          <w:color w:val="1D1D1D"/>
          <w:lang w:val="en-US"/>
        </w:rPr>
        <w:t>)</w:t>
      </w:r>
      <w:r w:rsidRPr="00925B59">
        <w:rPr>
          <w:color w:val="1D1D1D"/>
          <w:lang w:val="en-US"/>
        </w:rPr>
        <w:t xml:space="preserve"> similarly recommends that </w:t>
      </w:r>
      <w:r>
        <w:rPr>
          <w:color w:val="1D1D1D"/>
          <w:lang w:val="en-US"/>
        </w:rPr>
        <w:t>Indigenous</w:t>
      </w:r>
      <w:r w:rsidRPr="00925B59">
        <w:rPr>
          <w:color w:val="1D1D1D"/>
          <w:lang w:val="en-US"/>
        </w:rPr>
        <w:t xml:space="preserve"> communities be consulted prior to opening new geographical areas for oil and gas exploration and development.</w:t>
      </w:r>
      <w:r w:rsidRPr="00925B59">
        <w:rPr>
          <w:rStyle w:val="FootnoteReference"/>
          <w:color w:val="1D1D1D"/>
          <w:lang w:val="en-US"/>
        </w:rPr>
        <w:footnoteReference w:id="100"/>
      </w:r>
      <w:r w:rsidRPr="00925B59">
        <w:rPr>
          <w:color w:val="1D1D1D"/>
          <w:lang w:val="en-US"/>
        </w:rPr>
        <w:t xml:space="preserve"> </w:t>
      </w:r>
    </w:p>
    <w:p w14:paraId="5B5D645B" w14:textId="77777777" w:rsidR="0061727C" w:rsidRDefault="0061727C" w:rsidP="008C60CE">
      <w:pPr>
        <w:rPr>
          <w:color w:val="1D1D1D"/>
          <w:lang w:val="en-US"/>
        </w:rPr>
      </w:pPr>
    </w:p>
    <w:p w14:paraId="1C408725" w14:textId="77777777" w:rsidR="00A80BD9" w:rsidRPr="006227EE" w:rsidRDefault="00A80BD9" w:rsidP="00A80BD9">
      <w:pPr>
        <w:rPr>
          <w:rFonts w:eastAsia="Times New Roman"/>
          <w:color w:val="000000"/>
          <w:lang w:val="en-US"/>
        </w:rPr>
      </w:pPr>
      <w:r w:rsidRPr="00925B59">
        <w:t xml:space="preserve">Some </w:t>
      </w:r>
      <w:r>
        <w:t>Indigenous</w:t>
      </w:r>
      <w:r w:rsidRPr="00925B59">
        <w:t xml:space="preserve"> </w:t>
      </w:r>
      <w:r>
        <w:t>engagement</w:t>
      </w:r>
      <w:r w:rsidRPr="00925B59">
        <w:t xml:space="preserve"> policies explicitly require </w:t>
      </w:r>
      <w:r w:rsidRPr="006227EE">
        <w:t>consultation at the exploration stage.</w:t>
      </w:r>
      <w:bookmarkStart w:id="54" w:name="_Ref333349060"/>
      <w:r w:rsidRPr="006227EE">
        <w:rPr>
          <w:rStyle w:val="FootnoteReference"/>
        </w:rPr>
        <w:footnoteReference w:id="101"/>
      </w:r>
      <w:bookmarkEnd w:id="54"/>
      <w:r w:rsidRPr="006227EE">
        <w:t xml:space="preserve"> </w:t>
      </w:r>
    </w:p>
    <w:p w14:paraId="122B43E0" w14:textId="2A7FE4B6" w:rsidR="008C60CE" w:rsidRPr="00872337" w:rsidRDefault="008C60CE" w:rsidP="008C60CE">
      <w:r w:rsidRPr="00925B59">
        <w:t>Con</w:t>
      </w:r>
      <w:r w:rsidR="0061727C">
        <w:t>sultation at this stage may</w:t>
      </w:r>
      <w:r w:rsidRPr="00925B59">
        <w:t xml:space="preserve"> </w:t>
      </w:r>
      <w:r w:rsidR="00A80BD9">
        <w:t xml:space="preserve">also </w:t>
      </w:r>
      <w:r w:rsidRPr="00925B59">
        <w:t xml:space="preserve">be required directly by an agreement between the </w:t>
      </w:r>
      <w:r>
        <w:t>Indigenous Peoples</w:t>
      </w:r>
      <w:r w:rsidRPr="00925B59">
        <w:t xml:space="preserve"> and the government. For example, in Canada, the </w:t>
      </w:r>
      <w:proofErr w:type="spellStart"/>
      <w:r w:rsidRPr="00925B59">
        <w:t>Sahtu</w:t>
      </w:r>
      <w:proofErr w:type="spellEnd"/>
      <w:r w:rsidRPr="00925B59">
        <w:t xml:space="preserve"> Dene and Métis Comprehensive Land Claim Agreement requires the government to consult prior to opening any lands for oil and gas exploration.</w:t>
      </w:r>
      <w:r w:rsidRPr="00925B59">
        <w:rPr>
          <w:rStyle w:val="FootnoteReference"/>
        </w:rPr>
        <w:footnoteReference w:id="102"/>
      </w:r>
    </w:p>
    <w:p w14:paraId="0AFB8670" w14:textId="77777777" w:rsidR="008C60CE" w:rsidRPr="006227EE" w:rsidRDefault="008C60CE" w:rsidP="008C60CE">
      <w:pPr>
        <w:widowControl w:val="0"/>
        <w:autoSpaceDE w:val="0"/>
        <w:autoSpaceDN w:val="0"/>
        <w:adjustRightInd w:val="0"/>
        <w:rPr>
          <w:lang w:val="en-US"/>
        </w:rPr>
      </w:pPr>
    </w:p>
    <w:p w14:paraId="74E4124A" w14:textId="685D0FD4" w:rsidR="008C60CE" w:rsidRPr="00656DB4" w:rsidRDefault="008C60CE" w:rsidP="00256AC8">
      <w:pPr>
        <w:widowControl w:val="0"/>
        <w:autoSpaceDE w:val="0"/>
        <w:autoSpaceDN w:val="0"/>
        <w:adjustRightInd w:val="0"/>
        <w:spacing w:after="240"/>
        <w:rPr>
          <w:lang w:val="en-US"/>
        </w:rPr>
      </w:pPr>
      <w:r w:rsidRPr="006227EE">
        <w:t xml:space="preserve">Although meaningful engagement can begin at a much earlier stage, formal consultation by governments is often concurrently required with environmental impact assessments (EIA). </w:t>
      </w:r>
      <w:r w:rsidR="006227EE" w:rsidRPr="006227EE">
        <w:t xml:space="preserve">These assessments must be performed early enough </w:t>
      </w:r>
      <w:r w:rsidR="006227EE" w:rsidRPr="006227EE">
        <w:rPr>
          <w:color w:val="1A1718"/>
          <w:lang w:val="en-US"/>
        </w:rPr>
        <w:t>to influence decisions and help formulate alternative approaches.</w:t>
      </w:r>
      <w:r w:rsidR="006227EE" w:rsidRPr="006227EE">
        <w:rPr>
          <w:rStyle w:val="FootnoteReference"/>
        </w:rPr>
        <w:footnoteReference w:id="103"/>
      </w:r>
      <w:r w:rsidR="006227EE" w:rsidRPr="006227EE">
        <w:t xml:space="preserve"> </w:t>
      </w:r>
      <w:r w:rsidRPr="006227EE">
        <w:t>Early engagement at this stage includes input from Indigenous Peoples about the scope of environmental studies that will support the EIA.</w:t>
      </w:r>
      <w:r w:rsidRPr="006227EE">
        <w:rPr>
          <w:rStyle w:val="FootnoteReference"/>
        </w:rPr>
        <w:footnoteReference w:id="104"/>
      </w:r>
      <w:r w:rsidRPr="006227EE">
        <w:t xml:space="preserve"> Engagement in the EIA </w:t>
      </w:r>
      <w:r w:rsidRPr="006227EE">
        <w:lastRenderedPageBreak/>
        <w:t>process helps to support</w:t>
      </w:r>
      <w:r>
        <w:t xml:space="preserve"> evidence based decision making, </w:t>
      </w:r>
      <w:r w:rsidR="00872337">
        <w:t>as Indigenous Peoples can provide essential context and information</w:t>
      </w:r>
      <w:r w:rsidRPr="00656DB4">
        <w:t xml:space="preserve">. Early engagement can also include input from Indigenous Peoples about the stipulations that will be imposed on the activity. </w:t>
      </w:r>
      <w:r w:rsidRPr="00656DB4">
        <w:rPr>
          <w:iCs/>
        </w:rPr>
        <w:t xml:space="preserve">For example, during Canada’s </w:t>
      </w:r>
      <w:r w:rsidRPr="00656DB4">
        <w:t>Labrador Shelf environmental assessment, the Inuit regional Nunatsiavut Government jointly determined with the regulatory agency what mitigation measures and restrictions would be applied to future offshore development.</w:t>
      </w:r>
      <w:r w:rsidRPr="00656DB4">
        <w:rPr>
          <w:rStyle w:val="FootnoteReference"/>
        </w:rPr>
        <w:footnoteReference w:id="105"/>
      </w:r>
      <w:r w:rsidRPr="00656DB4">
        <w:t xml:space="preserve"> </w:t>
      </w:r>
      <w:r w:rsidR="009D737D" w:rsidRPr="00656DB4">
        <w:t xml:space="preserve">The participation of </w:t>
      </w:r>
      <w:r w:rsidR="009D737D" w:rsidRPr="00656DB4">
        <w:rPr>
          <w:color w:val="1A1718"/>
          <w:lang w:val="en-US"/>
        </w:rPr>
        <w:t>Indigenous Peoples in EIAs “should be facilitated through adequate training and funding.”</w:t>
      </w:r>
      <w:r w:rsidR="009D737D" w:rsidRPr="00656DB4">
        <w:rPr>
          <w:rStyle w:val="FootnoteReference"/>
          <w:color w:val="1A1718"/>
          <w:lang w:val="en-US"/>
        </w:rPr>
        <w:footnoteReference w:id="106"/>
      </w:r>
    </w:p>
    <w:p w14:paraId="38E72BC7" w14:textId="197F965A" w:rsidR="00E81359" w:rsidRPr="00925B59" w:rsidRDefault="00A00107" w:rsidP="00E81359">
      <w:pPr>
        <w:widowControl w:val="0"/>
        <w:autoSpaceDE w:val="0"/>
        <w:autoSpaceDN w:val="0"/>
        <w:adjustRightInd w:val="0"/>
      </w:pPr>
      <w:r w:rsidRPr="00656DB4">
        <w:t xml:space="preserve">Management plans and formal policies guiding Indigenous engagement do not exist for all sectors. To support timely engagement for those activities, </w:t>
      </w:r>
      <w:r w:rsidR="008E10B9" w:rsidRPr="00656DB4">
        <w:t>these sectors</w:t>
      </w:r>
      <w:r w:rsidRPr="00656DB4">
        <w:t xml:space="preserve"> can prioritize the development of policies applicable to</w:t>
      </w:r>
      <w:r w:rsidRPr="00925B59">
        <w:t xml:space="preserve"> </w:t>
      </w:r>
      <w:r w:rsidR="008E10B9">
        <w:t xml:space="preserve">their activities, and governments can provide additional guidance for </w:t>
      </w:r>
      <w:r w:rsidRPr="00925B59">
        <w:t>a broader range of activities</w:t>
      </w:r>
      <w:r>
        <w:t xml:space="preserve">. For example cruise ship tourism policies could be developed </w:t>
      </w:r>
      <w:r w:rsidR="00DC54D6">
        <w:t>in collaboration with Indigenous Peoples for meaningful engagement</w:t>
      </w:r>
      <w:r w:rsidRPr="00925B59">
        <w:t>.</w:t>
      </w:r>
      <w:r w:rsidRPr="00925B59">
        <w:rPr>
          <w:rStyle w:val="FootnoteReference"/>
          <w:lang w:val="en-US"/>
        </w:rPr>
        <w:footnoteReference w:id="107"/>
      </w:r>
    </w:p>
    <w:p w14:paraId="0C404F06" w14:textId="77777777" w:rsidR="00B50427" w:rsidRPr="00925B59" w:rsidRDefault="00B50427" w:rsidP="00B12B13"/>
    <w:p w14:paraId="772DC6E2" w14:textId="77777777" w:rsidR="004F6129" w:rsidRDefault="00C95A84" w:rsidP="00B12B13">
      <w:pPr>
        <w:widowControl w:val="0"/>
        <w:autoSpaceDE w:val="0"/>
        <w:autoSpaceDN w:val="0"/>
        <w:adjustRightInd w:val="0"/>
      </w:pPr>
      <w:r>
        <w:rPr>
          <w:color w:val="1D1D1D"/>
          <w:lang w:val="en-US"/>
        </w:rPr>
        <w:t>Indigenous</w:t>
      </w:r>
      <w:r w:rsidR="00FC63E1">
        <w:rPr>
          <w:color w:val="1D1D1D"/>
          <w:lang w:val="en-US"/>
        </w:rPr>
        <w:t xml:space="preserve"> Peoples</w:t>
      </w:r>
      <w:r w:rsidR="00BC6DE3" w:rsidRPr="00925B59">
        <w:rPr>
          <w:color w:val="1D1D1D"/>
          <w:lang w:val="en-US"/>
        </w:rPr>
        <w:t xml:space="preserve"> </w:t>
      </w:r>
      <w:r w:rsidR="00244E83" w:rsidRPr="00925B59">
        <w:rPr>
          <w:color w:val="1D1D1D"/>
          <w:lang w:val="en-US"/>
        </w:rPr>
        <w:t xml:space="preserve">and communities </w:t>
      </w:r>
      <w:r w:rsidR="00BC6DE3" w:rsidRPr="00925B59">
        <w:rPr>
          <w:color w:val="1D1D1D"/>
          <w:lang w:val="en-US"/>
        </w:rPr>
        <w:t>should not only respond and be able to influence externally initiated proposals, but should actively propose measures, programs and activities that shape their development.</w:t>
      </w:r>
      <w:r w:rsidR="00BC6DE3" w:rsidRPr="00925B59">
        <w:rPr>
          <w:rStyle w:val="FootnoteReference"/>
          <w:color w:val="1D1D1D"/>
          <w:lang w:val="en-US"/>
        </w:rPr>
        <w:footnoteReference w:id="108"/>
      </w:r>
      <w:r w:rsidR="00AC58A8">
        <w:rPr>
          <w:lang w:val="en-US"/>
        </w:rPr>
        <w:t xml:space="preserve"> </w:t>
      </w:r>
      <w:r w:rsidR="00B41ED6" w:rsidRPr="00925B59">
        <w:rPr>
          <w:lang w:val="en-US"/>
        </w:rPr>
        <w:t xml:space="preserve">For example, </w:t>
      </w:r>
      <w:r>
        <w:t>Indigenous</w:t>
      </w:r>
      <w:r w:rsidR="00FC63E1">
        <w:t xml:space="preserve"> Peoples</w:t>
      </w:r>
      <w:r w:rsidR="00BC6DE3" w:rsidRPr="00925B59">
        <w:t xml:space="preserve"> </w:t>
      </w:r>
      <w:r w:rsidR="00244E83" w:rsidRPr="00925B59">
        <w:t xml:space="preserve">and communities </w:t>
      </w:r>
      <w:r w:rsidR="00BC6DE3" w:rsidRPr="00925B59">
        <w:t>can</w:t>
      </w:r>
      <w:r w:rsidR="00B50427" w:rsidRPr="00925B59">
        <w:t xml:space="preserve"> strengthen their ability to influence </w:t>
      </w:r>
      <w:r w:rsidR="00617FF5" w:rsidRPr="00925B59">
        <w:t>the activities that take place in their communities</w:t>
      </w:r>
      <w:r w:rsidR="00B50427" w:rsidRPr="00925B59">
        <w:t xml:space="preserve"> by creating a community development or management plan that meets their desires for future </w:t>
      </w:r>
      <w:r w:rsidR="00617FF5" w:rsidRPr="00925B59">
        <w:t xml:space="preserve">economic </w:t>
      </w:r>
      <w:r w:rsidR="00B50427" w:rsidRPr="00925B59">
        <w:t>development</w:t>
      </w:r>
      <w:r w:rsidR="00617FF5" w:rsidRPr="00925B59">
        <w:t xml:space="preserve"> and the protection of cultural heritage and environmental resources</w:t>
      </w:r>
      <w:r w:rsidR="00B50427" w:rsidRPr="00925B59">
        <w:t>.</w:t>
      </w:r>
      <w:r w:rsidR="00B50427" w:rsidRPr="00925B59">
        <w:rPr>
          <w:rStyle w:val="FootnoteReference"/>
        </w:rPr>
        <w:footnoteReference w:id="109"/>
      </w:r>
      <w:r w:rsidR="00EB6975" w:rsidRPr="00925B59">
        <w:t xml:space="preserve"> One </w:t>
      </w:r>
      <w:r w:rsidR="007A5297" w:rsidRPr="00925B59">
        <w:t xml:space="preserve">early example is the </w:t>
      </w:r>
      <w:proofErr w:type="spellStart"/>
      <w:r w:rsidR="007A5297" w:rsidRPr="00925B59">
        <w:t>Nuiqsut</w:t>
      </w:r>
      <w:proofErr w:type="spellEnd"/>
      <w:r w:rsidR="007A5297" w:rsidRPr="00925B59">
        <w:t xml:space="preserve"> Cultural Plan, which in 1979 defined the cultural landscape and community land use and identified development objectives including the establishment of the historical, cultural, and subsistence resources and values as major considerations in land-use planning, development, and operations.</w:t>
      </w:r>
      <w:r w:rsidR="007A5297" w:rsidRPr="00925B59">
        <w:rPr>
          <w:rStyle w:val="FootnoteReference"/>
        </w:rPr>
        <w:footnoteReference w:id="110"/>
      </w:r>
      <w:r w:rsidR="007A5297" w:rsidRPr="00925B59">
        <w:t xml:space="preserve"> A more recent </w:t>
      </w:r>
      <w:r w:rsidR="00EB6975" w:rsidRPr="00925B59">
        <w:t>example</w:t>
      </w:r>
      <w:r w:rsidR="007F0669" w:rsidRPr="00925B59">
        <w:t xml:space="preserve"> of a community development plan</w:t>
      </w:r>
      <w:r w:rsidR="00EB6975" w:rsidRPr="00925B59">
        <w:t xml:space="preserve"> i</w:t>
      </w:r>
      <w:r w:rsidR="00A50061" w:rsidRPr="00925B59">
        <w:t xml:space="preserve">s </w:t>
      </w:r>
      <w:r w:rsidR="002A2147" w:rsidRPr="00925B59">
        <w:t xml:space="preserve">the </w:t>
      </w:r>
      <w:proofErr w:type="spellStart"/>
      <w:r w:rsidR="002A2147" w:rsidRPr="00925B59">
        <w:rPr>
          <w:bCs/>
          <w:color w:val="000000"/>
        </w:rPr>
        <w:t>Gambell</w:t>
      </w:r>
      <w:proofErr w:type="spellEnd"/>
      <w:r w:rsidR="002A2147" w:rsidRPr="00925B59">
        <w:rPr>
          <w:bCs/>
          <w:color w:val="000000"/>
        </w:rPr>
        <w:t xml:space="preserve"> Local Economic Development Plan, which</w:t>
      </w:r>
      <w:r w:rsidR="00D17A4F" w:rsidRPr="00925B59">
        <w:rPr>
          <w:bCs/>
          <w:color w:val="000000"/>
        </w:rPr>
        <w:t>, among other things,</w:t>
      </w:r>
      <w:r w:rsidR="002A2147" w:rsidRPr="00925B59">
        <w:rPr>
          <w:bCs/>
          <w:color w:val="000000"/>
        </w:rPr>
        <w:t xml:space="preserve"> identifies th</w:t>
      </w:r>
      <w:r w:rsidR="00D17A4F" w:rsidRPr="00925B59">
        <w:rPr>
          <w:bCs/>
          <w:color w:val="000000"/>
        </w:rPr>
        <w:t>e community’s vision, values, and</w:t>
      </w:r>
      <w:r w:rsidR="002A2147" w:rsidRPr="00925B59">
        <w:rPr>
          <w:bCs/>
          <w:color w:val="000000"/>
        </w:rPr>
        <w:t xml:space="preserve"> top</w:t>
      </w:r>
      <w:r w:rsidR="00D17A4F" w:rsidRPr="00925B59">
        <w:rPr>
          <w:bCs/>
          <w:color w:val="000000"/>
        </w:rPr>
        <w:t xml:space="preserve"> priority development projects.</w:t>
      </w:r>
      <w:r w:rsidR="002A2147" w:rsidRPr="00925B59">
        <w:rPr>
          <w:rStyle w:val="FootnoteReference"/>
          <w:bCs/>
          <w:color w:val="000000"/>
        </w:rPr>
        <w:footnoteReference w:id="111"/>
      </w:r>
      <w:r w:rsidR="002A2147" w:rsidRPr="00925B59">
        <w:rPr>
          <w:bCs/>
          <w:color w:val="000000"/>
        </w:rPr>
        <w:t xml:space="preserve"> </w:t>
      </w:r>
      <w:r w:rsidR="002A2147" w:rsidRPr="00925B59">
        <w:t xml:space="preserve">Another example is </w:t>
      </w:r>
      <w:r w:rsidR="00A50061" w:rsidRPr="00925B59">
        <w:t xml:space="preserve">the </w:t>
      </w:r>
      <w:proofErr w:type="spellStart"/>
      <w:r w:rsidR="00A50061" w:rsidRPr="00925B59">
        <w:t>Gwich’in</w:t>
      </w:r>
      <w:proofErr w:type="spellEnd"/>
      <w:r w:rsidR="00A50061" w:rsidRPr="00925B59">
        <w:t xml:space="preserve"> Land Use Plan, which mapped areas of significant value and use, ranked the natural and cultural values of the area with the potential for development, and created three zones (general</w:t>
      </w:r>
      <w:r w:rsidR="002E4BF3" w:rsidRPr="00925B59">
        <w:t xml:space="preserve"> use</w:t>
      </w:r>
      <w:r w:rsidR="00A50061" w:rsidRPr="00925B59">
        <w:t xml:space="preserve">, special management, and conservation and heritage). </w:t>
      </w:r>
    </w:p>
    <w:p w14:paraId="0899196E" w14:textId="77777777" w:rsidR="004F6129" w:rsidRDefault="004F6129" w:rsidP="00B12B13">
      <w:pPr>
        <w:widowControl w:val="0"/>
        <w:autoSpaceDE w:val="0"/>
        <w:autoSpaceDN w:val="0"/>
        <w:adjustRightInd w:val="0"/>
      </w:pPr>
    </w:p>
    <w:p w14:paraId="4B6A1B3A" w14:textId="3233CF01" w:rsidR="00A678C7" w:rsidRPr="004F6129" w:rsidRDefault="00A678C7" w:rsidP="00B12B13">
      <w:pPr>
        <w:widowControl w:val="0"/>
        <w:autoSpaceDE w:val="0"/>
        <w:autoSpaceDN w:val="0"/>
        <w:adjustRightInd w:val="0"/>
        <w:rPr>
          <w:bCs/>
          <w:color w:val="000000"/>
        </w:rPr>
      </w:pPr>
      <w:r w:rsidRPr="00925B59">
        <w:t xml:space="preserve">The Arctic Marine Shipping Assessment recommends surveys of marine use by </w:t>
      </w:r>
      <w:r w:rsidR="00C95A84">
        <w:t>Indigenous</w:t>
      </w:r>
      <w:r w:rsidRPr="00925B59">
        <w:t xml:space="preserve"> communities</w:t>
      </w:r>
      <w:r w:rsidR="00233BC4">
        <w:t>.</w:t>
      </w:r>
      <w:r w:rsidRPr="00925B59">
        <w:rPr>
          <w:rStyle w:val="FootnoteReference"/>
        </w:rPr>
        <w:footnoteReference w:id="112"/>
      </w:r>
      <w:r w:rsidR="00266CEB" w:rsidRPr="00925B59">
        <w:t xml:space="preserve"> </w:t>
      </w:r>
      <w:r w:rsidR="00CC2A77">
        <w:t xml:space="preserve">The Aleut International Association, an Arctic Council Permanent Participant, is working on a </w:t>
      </w:r>
      <w:r w:rsidR="004A0BB2">
        <w:t>project to enable communities to map</w:t>
      </w:r>
      <w:r w:rsidR="00CC2A77">
        <w:t xml:space="preserve"> their </w:t>
      </w:r>
      <w:r w:rsidR="004A0BB2">
        <w:t xml:space="preserve">own </w:t>
      </w:r>
      <w:r w:rsidR="00CC2A77">
        <w:t xml:space="preserve">use of marine waters. </w:t>
      </w:r>
      <w:r w:rsidR="00A00107">
        <w:t xml:space="preserve">In the Bering Sea, </w:t>
      </w:r>
      <w:r w:rsidR="00C95A84">
        <w:t>Indigenous</w:t>
      </w:r>
      <w:r w:rsidR="00FC63E1">
        <w:t xml:space="preserve"> Peoples</w:t>
      </w:r>
      <w:r w:rsidR="00266CEB" w:rsidRPr="00925B59">
        <w:t xml:space="preserve"> have created guidance to help ensure maps identifying </w:t>
      </w:r>
      <w:r w:rsidR="00C95A84">
        <w:t>Indigenous</w:t>
      </w:r>
      <w:r w:rsidR="00266CEB" w:rsidRPr="00925B59">
        <w:t xml:space="preserve"> </w:t>
      </w:r>
      <w:r w:rsidR="00266CEB" w:rsidRPr="00925B59">
        <w:lastRenderedPageBreak/>
        <w:t xml:space="preserve">values and containing </w:t>
      </w:r>
      <w:r w:rsidR="00C95A84">
        <w:t>Indigenous</w:t>
      </w:r>
      <w:r w:rsidR="00FC63E1">
        <w:t xml:space="preserve"> Knowledge</w:t>
      </w:r>
      <w:r w:rsidR="00266CEB" w:rsidRPr="00925B59">
        <w:t xml:space="preserve"> are not misused.</w:t>
      </w:r>
      <w:r w:rsidR="00266CEB" w:rsidRPr="00925B59">
        <w:rPr>
          <w:rStyle w:val="FootnoteReference"/>
        </w:rPr>
        <w:footnoteReference w:id="113"/>
      </w:r>
      <w:r w:rsidR="00915C44">
        <w:t xml:space="preserve"> Indigenous use mapping</w:t>
      </w:r>
      <w:r w:rsidR="00915C44" w:rsidRPr="00925B59">
        <w:t xml:space="preserve"> can help communities to define a vision for future use of their marine waters</w:t>
      </w:r>
      <w:r w:rsidR="00915C44">
        <w:t>.</w:t>
      </w:r>
    </w:p>
    <w:p w14:paraId="158E7595" w14:textId="77777777" w:rsidR="00AB7397" w:rsidRPr="00925B59" w:rsidRDefault="00AB7397" w:rsidP="00B12B13">
      <w:pPr>
        <w:widowControl w:val="0"/>
        <w:autoSpaceDE w:val="0"/>
        <w:autoSpaceDN w:val="0"/>
        <w:adjustRightInd w:val="0"/>
      </w:pPr>
    </w:p>
    <w:p w14:paraId="154188D5" w14:textId="573C2567" w:rsidR="00AB7397" w:rsidRPr="00925B59" w:rsidRDefault="00C95A84" w:rsidP="00B12B13">
      <w:pPr>
        <w:widowControl w:val="0"/>
        <w:autoSpaceDE w:val="0"/>
        <w:autoSpaceDN w:val="0"/>
        <w:adjustRightInd w:val="0"/>
      </w:pPr>
      <w:r>
        <w:t>Indigenous</w:t>
      </w:r>
      <w:r w:rsidR="00FC63E1">
        <w:t xml:space="preserve"> Peoples</w:t>
      </w:r>
      <w:r w:rsidR="00AB7397" w:rsidRPr="00925B59">
        <w:t xml:space="preserve"> can also seek to influence management policies by articulating their own methods of natural resource management. For example, Bering Sea communities documented traditional forms of marine mammal management.</w:t>
      </w:r>
      <w:r w:rsidR="00AB7397" w:rsidRPr="00925B59">
        <w:rPr>
          <w:rStyle w:val="FootnoteReference"/>
        </w:rPr>
        <w:footnoteReference w:id="114"/>
      </w:r>
      <w:r w:rsidR="00AB7397" w:rsidRPr="00925B59">
        <w:t xml:space="preserve"> Similarly, the Alaska </w:t>
      </w:r>
      <w:proofErr w:type="spellStart"/>
      <w:r w:rsidR="00AB7397" w:rsidRPr="00925B59">
        <w:t>Nanuuq</w:t>
      </w:r>
      <w:proofErr w:type="spellEnd"/>
      <w:r w:rsidR="00AB7397" w:rsidRPr="00925B59">
        <w:t xml:space="preserve"> Commission catalogued </w:t>
      </w:r>
      <w:r w:rsidR="00475F8E">
        <w:t>Indigenous Knowledge</w:t>
      </w:r>
      <w:r w:rsidR="00AB7397" w:rsidRPr="00925B59">
        <w:t xml:space="preserve"> about polar bear behavior, abundance, and habitat and described traditional hunting regulations and cultural values.</w:t>
      </w:r>
      <w:r w:rsidR="00AB7397" w:rsidRPr="00925B59">
        <w:rPr>
          <w:rStyle w:val="FootnoteReference"/>
        </w:rPr>
        <w:footnoteReference w:id="115"/>
      </w:r>
    </w:p>
    <w:p w14:paraId="5552B61A" w14:textId="77777777" w:rsidR="00A678C7" w:rsidRPr="00925B59" w:rsidRDefault="00A678C7" w:rsidP="00B12B13">
      <w:pPr>
        <w:widowControl w:val="0"/>
        <w:autoSpaceDE w:val="0"/>
        <w:autoSpaceDN w:val="0"/>
        <w:adjustRightInd w:val="0"/>
      </w:pPr>
    </w:p>
    <w:p w14:paraId="7D8C5B7A" w14:textId="6A6D8AC3" w:rsidR="00B50427" w:rsidRPr="0032237D" w:rsidRDefault="00B50427" w:rsidP="00B12B13">
      <w:pPr>
        <w:widowControl w:val="0"/>
        <w:autoSpaceDE w:val="0"/>
        <w:autoSpaceDN w:val="0"/>
        <w:adjustRightInd w:val="0"/>
      </w:pPr>
      <w:r w:rsidRPr="00925B59">
        <w:t>Gov</w:t>
      </w:r>
      <w:r w:rsidR="002E4BF3" w:rsidRPr="00925B59">
        <w:t xml:space="preserve">ernments </w:t>
      </w:r>
      <w:r w:rsidR="00EE7FDC" w:rsidRPr="00925B59">
        <w:t xml:space="preserve">and other parties </w:t>
      </w:r>
      <w:r w:rsidR="002E4BF3" w:rsidRPr="00925B59">
        <w:t>can</w:t>
      </w:r>
      <w:r w:rsidRPr="00925B59">
        <w:t xml:space="preserve"> provide the necessary support and capacity for </w:t>
      </w:r>
      <w:r w:rsidR="00C95A84">
        <w:t>Indigenous</w:t>
      </w:r>
      <w:r w:rsidR="00FC63E1">
        <w:t xml:space="preserve"> Peoples</w:t>
      </w:r>
      <w:r w:rsidRPr="00925B59">
        <w:t xml:space="preserve"> </w:t>
      </w:r>
      <w:r w:rsidR="00C51B8D" w:rsidRPr="00925B59">
        <w:t xml:space="preserve">and communities </w:t>
      </w:r>
      <w:r w:rsidRPr="00925B59">
        <w:t xml:space="preserve">to create these </w:t>
      </w:r>
      <w:r w:rsidR="00B95B9E" w:rsidRPr="00925B59">
        <w:t xml:space="preserve">broad-based </w:t>
      </w:r>
      <w:r w:rsidRPr="00925B59">
        <w:t>plans and take them into account</w:t>
      </w:r>
      <w:r w:rsidR="0028185F" w:rsidRPr="00925B59">
        <w:t xml:space="preserve">. </w:t>
      </w:r>
      <w:r w:rsidR="002E4BF3" w:rsidRPr="00925B59">
        <w:t xml:space="preserve">For example, Canadian law requires the government to abide by the </w:t>
      </w:r>
      <w:proofErr w:type="spellStart"/>
      <w:r w:rsidR="002E4BF3" w:rsidRPr="00925B59">
        <w:t>Gwich’in</w:t>
      </w:r>
      <w:proofErr w:type="spellEnd"/>
      <w:r w:rsidR="002E4BF3" w:rsidRPr="00925B59">
        <w:t xml:space="preserve"> plan.</w:t>
      </w:r>
      <w:r w:rsidR="002E4BF3" w:rsidRPr="00925B59">
        <w:rPr>
          <w:rStyle w:val="FootnoteReference"/>
        </w:rPr>
        <w:footnoteReference w:id="116"/>
      </w:r>
      <w:r w:rsidR="001E14EC" w:rsidRPr="00925B59">
        <w:t xml:space="preserve"> </w:t>
      </w:r>
      <w:r w:rsidR="00EB6975" w:rsidRPr="00925B59">
        <w:t>More generally, i</w:t>
      </w:r>
      <w:r w:rsidRPr="00925B59">
        <w:t>n the U</w:t>
      </w:r>
      <w:r w:rsidR="00686315" w:rsidRPr="00925B59">
        <w:t>.</w:t>
      </w:r>
      <w:r w:rsidRPr="00925B59">
        <w:t>S</w:t>
      </w:r>
      <w:r w:rsidR="00686315" w:rsidRPr="00925B59">
        <w:t>.</w:t>
      </w:r>
      <w:r w:rsidRPr="00925B59">
        <w:t xml:space="preserve">, departments are required to “give deference” to </w:t>
      </w:r>
      <w:r w:rsidR="00C95A84">
        <w:t>Indigenous</w:t>
      </w:r>
      <w:r w:rsidRPr="00925B59">
        <w:t xml:space="preserve"> conservation and </w:t>
      </w:r>
      <w:r w:rsidRPr="0032237D">
        <w:t>management plans.</w:t>
      </w:r>
      <w:bookmarkStart w:id="55" w:name="_Ref334084751"/>
      <w:r w:rsidRPr="0032237D">
        <w:rPr>
          <w:rStyle w:val="FootnoteReference"/>
        </w:rPr>
        <w:footnoteReference w:id="117"/>
      </w:r>
      <w:bookmarkEnd w:id="55"/>
    </w:p>
    <w:p w14:paraId="362356B4" w14:textId="77777777" w:rsidR="009C61B2" w:rsidRPr="0032237D" w:rsidRDefault="009C61B2" w:rsidP="00B12B13">
      <w:pPr>
        <w:widowControl w:val="0"/>
        <w:autoSpaceDE w:val="0"/>
        <w:autoSpaceDN w:val="0"/>
        <w:adjustRightInd w:val="0"/>
      </w:pPr>
    </w:p>
    <w:p w14:paraId="05E5CAA2" w14:textId="4F59E39F" w:rsidR="00B50427" w:rsidRPr="00925B59" w:rsidRDefault="009C61B2" w:rsidP="00B7582C">
      <w:pPr>
        <w:widowControl w:val="0"/>
        <w:autoSpaceDE w:val="0"/>
        <w:autoSpaceDN w:val="0"/>
        <w:adjustRightInd w:val="0"/>
        <w:spacing w:after="240"/>
      </w:pPr>
      <w:r w:rsidRPr="0032237D">
        <w:t xml:space="preserve">Indigenous Peoples can also pro-actively seek engagement by forming Indigenous-led associations to develop relationships with outside entities. For example, the </w:t>
      </w:r>
      <w:r w:rsidRPr="0032237D">
        <w:rPr>
          <w:lang w:val="en-US"/>
        </w:rPr>
        <w:t>Canadian Aboriginal Minerals Association “</w:t>
      </w:r>
      <w:r w:rsidR="0032237D" w:rsidRPr="0032237D">
        <w:rPr>
          <w:color w:val="262626"/>
          <w:lang w:val="en-US"/>
        </w:rPr>
        <w:t>seeks to increase the understanding of the minerals industry, Aboriginal mining and Aboriginal communities' paramount interests in lands and resources.”</w:t>
      </w:r>
      <w:r w:rsidR="0032237D" w:rsidRPr="0032237D">
        <w:rPr>
          <w:rStyle w:val="FootnoteReference"/>
          <w:color w:val="262626"/>
          <w:lang w:val="en-US"/>
        </w:rPr>
        <w:footnoteReference w:id="118"/>
      </w:r>
    </w:p>
    <w:p w14:paraId="301B9B17" w14:textId="688C9BD0" w:rsidR="005B3C66" w:rsidRPr="00B7582C" w:rsidRDefault="00215420" w:rsidP="00B7582C">
      <w:pPr>
        <w:pStyle w:val="Heading3"/>
        <w:numPr>
          <w:ilvl w:val="0"/>
          <w:numId w:val="22"/>
        </w:numPr>
        <w:rPr>
          <w:rFonts w:ascii="Times New Roman" w:hAnsi="Times New Roman" w:cs="Times New Roman"/>
          <w:b w:val="0"/>
          <w:color w:val="auto"/>
        </w:rPr>
      </w:pPr>
      <w:bookmarkStart w:id="56" w:name="_Toc334125704"/>
      <w:r>
        <w:rPr>
          <w:rFonts w:ascii="Times New Roman" w:hAnsi="Times New Roman" w:cs="Times New Roman"/>
          <w:b w:val="0"/>
          <w:color w:val="auto"/>
        </w:rPr>
        <w:t>S</w:t>
      </w:r>
      <w:r w:rsidR="005B3C66" w:rsidRPr="00B7582C">
        <w:rPr>
          <w:rFonts w:ascii="Times New Roman" w:hAnsi="Times New Roman" w:cs="Times New Roman"/>
          <w:b w:val="0"/>
          <w:color w:val="auto"/>
        </w:rPr>
        <w:t xml:space="preserve">ufficient time </w:t>
      </w:r>
      <w:r w:rsidR="00620A99" w:rsidRPr="00B7582C">
        <w:rPr>
          <w:rFonts w:ascii="Times New Roman" w:hAnsi="Times New Roman" w:cs="Times New Roman"/>
          <w:b w:val="0"/>
          <w:color w:val="auto"/>
        </w:rPr>
        <w:t>before decisions about the activity are made</w:t>
      </w:r>
      <w:bookmarkEnd w:id="56"/>
    </w:p>
    <w:p w14:paraId="380C45EF" w14:textId="77777777" w:rsidR="005B3C66" w:rsidRPr="00925B59" w:rsidRDefault="005B3C66" w:rsidP="005B3C66">
      <w:pPr>
        <w:pStyle w:val="ListParagraph"/>
        <w:widowControl w:val="0"/>
        <w:autoSpaceDE w:val="0"/>
        <w:autoSpaceDN w:val="0"/>
        <w:adjustRightInd w:val="0"/>
      </w:pPr>
    </w:p>
    <w:p w14:paraId="30C92E5F" w14:textId="10383307" w:rsidR="00DB31D1" w:rsidRDefault="005B3C66" w:rsidP="00620A99">
      <w:r w:rsidRPr="00925B59">
        <w:t>Another aspect of “prior”</w:t>
      </w:r>
      <w:r w:rsidR="00CA594C">
        <w:t xml:space="preserve"> engagement and</w:t>
      </w:r>
      <w:r w:rsidRPr="00925B59">
        <w:t xml:space="preserve"> consultation is that </w:t>
      </w:r>
      <w:r w:rsidR="00C95A84">
        <w:t>Indigenous</w:t>
      </w:r>
      <w:r w:rsidR="00FC63E1">
        <w:t xml:space="preserve"> Peoples</w:t>
      </w:r>
      <w:r w:rsidR="009D5536">
        <w:t xml:space="preserve"> and communities are able to</w:t>
      </w:r>
      <w:r w:rsidRPr="00925B59">
        <w:t xml:space="preserve"> provide their vi</w:t>
      </w:r>
      <w:r w:rsidR="009D5536">
        <w:t>ew on the potential impacts of proposed activities</w:t>
      </w:r>
      <w:r w:rsidRPr="00925B59">
        <w:t xml:space="preserve"> </w:t>
      </w:r>
      <w:r w:rsidR="00B762D6" w:rsidRPr="00925B59">
        <w:t>sufficiently</w:t>
      </w:r>
      <w:r w:rsidRPr="00925B59">
        <w:t xml:space="preserve"> in advance of</w:t>
      </w:r>
      <w:r w:rsidR="00B762D6" w:rsidRPr="00925B59">
        <w:t xml:space="preserve"> start up</w:t>
      </w:r>
      <w:r w:rsidRPr="00925B59">
        <w:t>.</w:t>
      </w:r>
      <w:r w:rsidRPr="00925B59">
        <w:rPr>
          <w:rStyle w:val="FootnoteReference"/>
        </w:rPr>
        <w:footnoteReference w:id="119"/>
      </w:r>
      <w:r w:rsidR="004230AC" w:rsidRPr="00925B59">
        <w:t xml:space="preserve"> </w:t>
      </w:r>
      <w:r w:rsidR="006E3A23">
        <w:t xml:space="preserve">Indigenous Peoples needs time to get to know the issues involved in a proposed activity, develop trust and build relationships with the people involved, discuss proposed activities among themselves and with others, and plan and assess the potential opportunities and impacts of an activity. Sufficient time is also necessary before meetings that </w:t>
      </w:r>
      <w:r w:rsidR="00BA6420">
        <w:t>constitute formal consultations</w:t>
      </w:r>
      <w:r w:rsidR="00B50427" w:rsidRPr="00925B59">
        <w:t>.</w:t>
      </w:r>
      <w:bookmarkStart w:id="57" w:name="_Ref334002602"/>
      <w:r w:rsidR="00B50427" w:rsidRPr="00925B59">
        <w:rPr>
          <w:rStyle w:val="FootnoteReference"/>
        </w:rPr>
        <w:footnoteReference w:id="120"/>
      </w:r>
      <w:bookmarkEnd w:id="57"/>
      <w:r w:rsidR="00B50427" w:rsidRPr="00925B59">
        <w:t xml:space="preserve"> </w:t>
      </w:r>
    </w:p>
    <w:p w14:paraId="1F431454" w14:textId="77777777" w:rsidR="00DB31D1" w:rsidRDefault="00DB31D1" w:rsidP="00620A99"/>
    <w:p w14:paraId="610CAD13" w14:textId="16DA080F" w:rsidR="00B50427" w:rsidRPr="0021295E" w:rsidRDefault="00B50427" w:rsidP="0021295E">
      <w:pPr>
        <w:widowControl w:val="0"/>
        <w:tabs>
          <w:tab w:val="left" w:pos="220"/>
          <w:tab w:val="left" w:pos="720"/>
        </w:tabs>
        <w:autoSpaceDE w:val="0"/>
        <w:autoSpaceDN w:val="0"/>
        <w:adjustRightInd w:val="0"/>
        <w:spacing w:after="240"/>
        <w:rPr>
          <w:rFonts w:ascii="Times" w:hAnsi="Times" w:cs="Times"/>
          <w:lang w:val="en-US"/>
        </w:rPr>
      </w:pPr>
      <w:r w:rsidRPr="00925B59">
        <w:lastRenderedPageBreak/>
        <w:t xml:space="preserve">According to the U.N. Guidelines on </w:t>
      </w:r>
      <w:r w:rsidR="00E44A05">
        <w:t>Free, Prior and Informed Consent (</w:t>
      </w:r>
      <w:r w:rsidRPr="00925B59">
        <w:t>FPIC</w:t>
      </w:r>
      <w:r w:rsidR="00E44A05">
        <w:t>)</w:t>
      </w:r>
      <w:r w:rsidRPr="00925B59">
        <w:t>, “free” refers to a process without externally imposed timelines and “prior” includes respect for time requirem</w:t>
      </w:r>
      <w:r w:rsidR="00563D4B">
        <w:t xml:space="preserve">ents of </w:t>
      </w:r>
      <w:r w:rsidR="00C95A84">
        <w:t>Indigenous</w:t>
      </w:r>
      <w:r w:rsidR="00563D4B">
        <w:t xml:space="preserve"> consultation or </w:t>
      </w:r>
      <w:r w:rsidRPr="00925B59">
        <w:t>consensus processes.”</w:t>
      </w:r>
      <w:bookmarkStart w:id="58" w:name="_Ref334008603"/>
      <w:r w:rsidRPr="00925B59">
        <w:rPr>
          <w:rStyle w:val="FootnoteReference"/>
        </w:rPr>
        <w:footnoteReference w:id="121"/>
      </w:r>
      <w:bookmarkEnd w:id="58"/>
      <w:r w:rsidRPr="00925B59">
        <w:t xml:space="preserve"> The time that an </w:t>
      </w:r>
      <w:r w:rsidR="00C95A84">
        <w:t>Indigenous</w:t>
      </w:r>
      <w:r w:rsidRPr="00925B59">
        <w:t xml:space="preserve"> group requires to determine whether proposed activities may affect their rights or interests will depend on the project, the capac</w:t>
      </w:r>
      <w:r w:rsidR="00A01EE3" w:rsidRPr="00925B59">
        <w:t xml:space="preserve">ity of the </w:t>
      </w:r>
      <w:r w:rsidR="00C95A84">
        <w:t>Indigenous</w:t>
      </w:r>
      <w:r w:rsidR="00A01EE3" w:rsidRPr="00925B59">
        <w:t xml:space="preserve"> group,</w:t>
      </w:r>
      <w:r w:rsidRPr="00925B59">
        <w:t xml:space="preserve"> their prior experience reviewing similar projects</w:t>
      </w:r>
      <w:r w:rsidR="00A01EE3" w:rsidRPr="00925B59">
        <w:t>, and their cultural traditions</w:t>
      </w:r>
      <w:r w:rsidRPr="00925B59">
        <w:t xml:space="preserve">. As explained by one Canadian tribal council, “it can take at least 180 days and often much longer for a First </w:t>
      </w:r>
      <w:r w:rsidRPr="00A04969">
        <w:t>Nation to understand how a project under review might impact Aboriginal rights and title.”</w:t>
      </w:r>
      <w:bookmarkStart w:id="59" w:name="_Ref334001649"/>
      <w:r w:rsidRPr="00A04969">
        <w:rPr>
          <w:rStyle w:val="FootnoteReference"/>
        </w:rPr>
        <w:footnoteReference w:id="122"/>
      </w:r>
      <w:bookmarkEnd w:id="59"/>
      <w:r w:rsidRPr="00A04969">
        <w:t xml:space="preserve"> Although </w:t>
      </w:r>
      <w:r w:rsidR="005B3C66" w:rsidRPr="00A04969">
        <w:t>outside entities</w:t>
      </w:r>
      <w:r w:rsidRPr="00A04969">
        <w:t xml:space="preserve"> may accrue financial costs from a protracted engagement process, this price “is likely to be small compared to those stemming from an inadequate engagement process.”</w:t>
      </w:r>
      <w:r w:rsidRPr="00A04969">
        <w:rPr>
          <w:rStyle w:val="FootnoteReference"/>
        </w:rPr>
        <w:footnoteReference w:id="123"/>
      </w:r>
      <w:r w:rsidR="00470F4E" w:rsidRPr="00A04969">
        <w:t xml:space="preserve"> </w:t>
      </w:r>
      <w:r w:rsidR="00097425" w:rsidRPr="00A04969">
        <w:t>Indeed, as some companies recognize, “</w:t>
      </w:r>
      <w:r w:rsidR="00097425" w:rsidRPr="00A04969">
        <w:rPr>
          <w:lang w:val="en-US"/>
        </w:rPr>
        <w:t>Engagement and relationship-building are an investment, not a cost.”</w:t>
      </w:r>
      <w:r w:rsidR="00A04969">
        <w:rPr>
          <w:rStyle w:val="FootnoteReference"/>
          <w:lang w:val="en-US"/>
        </w:rPr>
        <w:footnoteReference w:id="124"/>
      </w:r>
      <w:r w:rsidR="00097425" w:rsidRPr="00A04969">
        <w:rPr>
          <w:lang w:val="en-US"/>
        </w:rPr>
        <w:t xml:space="preserve"> </w:t>
      </w:r>
      <w:r w:rsidR="00470F4E" w:rsidRPr="00A04969">
        <w:t xml:space="preserve">Laws and policies that provide for project approval timelines can explicitly incorporating adequate time for </w:t>
      </w:r>
      <w:r w:rsidR="00C95A84" w:rsidRPr="00A04969">
        <w:t>Indigenous</w:t>
      </w:r>
      <w:r w:rsidR="00470F4E" w:rsidRPr="00925B59">
        <w:t xml:space="preserve"> engagement.</w:t>
      </w:r>
    </w:p>
    <w:p w14:paraId="3E58AC8F" w14:textId="6ED21E13" w:rsidR="00B50427" w:rsidRPr="00B7582C" w:rsidRDefault="00266592" w:rsidP="00B7582C">
      <w:pPr>
        <w:pStyle w:val="Heading2"/>
        <w:numPr>
          <w:ilvl w:val="0"/>
          <w:numId w:val="20"/>
        </w:numPr>
        <w:rPr>
          <w:rFonts w:ascii="Times New Roman" w:hAnsi="Times New Roman" w:cs="Times New Roman"/>
          <w:color w:val="auto"/>
          <w:sz w:val="24"/>
          <w:szCs w:val="24"/>
          <w:u w:val="single"/>
        </w:rPr>
      </w:pPr>
      <w:bookmarkStart w:id="60" w:name="_Toc334125705"/>
      <w:r w:rsidRPr="00B7582C">
        <w:rPr>
          <w:rFonts w:ascii="Times New Roman" w:hAnsi="Times New Roman" w:cs="Times New Roman"/>
          <w:color w:val="auto"/>
          <w:sz w:val="24"/>
          <w:szCs w:val="24"/>
          <w:u w:val="single"/>
        </w:rPr>
        <w:t>Adequate preparation</w:t>
      </w:r>
      <w:bookmarkEnd w:id="60"/>
    </w:p>
    <w:p w14:paraId="6AE0D10C" w14:textId="77777777" w:rsidR="00B50427" w:rsidRPr="00925B59" w:rsidRDefault="00B50427" w:rsidP="00B12B13"/>
    <w:p w14:paraId="506DB94D" w14:textId="75809957" w:rsidR="00AC6E3D" w:rsidRDefault="00BF5CBA" w:rsidP="00B12B13">
      <w:pPr>
        <w:widowControl w:val="0"/>
        <w:autoSpaceDE w:val="0"/>
        <w:autoSpaceDN w:val="0"/>
        <w:adjustRightInd w:val="0"/>
      </w:pPr>
      <w:r>
        <w:t>Engagement is more effective when all parties are adequately prepared</w:t>
      </w:r>
      <w:r w:rsidR="00CB6980">
        <w:t>. Preparation can include</w:t>
      </w:r>
      <w:r>
        <w:t xml:space="preserve"> having</w:t>
      </w:r>
      <w:r w:rsidRPr="00925B59">
        <w:t xml:space="preserve"> enga</w:t>
      </w:r>
      <w:r>
        <w:t xml:space="preserve">gement policies </w:t>
      </w:r>
      <w:r w:rsidR="00BD2E11">
        <w:t xml:space="preserve">and MOUs </w:t>
      </w:r>
      <w:r>
        <w:t>in place, being informed about the scope of proposed activities</w:t>
      </w:r>
      <w:r w:rsidR="003F68A2">
        <w:t xml:space="preserve"> through the sharing of information </w:t>
      </w:r>
      <w:r w:rsidR="00CB6980">
        <w:t>among parties</w:t>
      </w:r>
      <w:r w:rsidR="003F68A2">
        <w:t>, and</w:t>
      </w:r>
      <w:r>
        <w:t xml:space="preserve"> ensuring</w:t>
      </w:r>
      <w:r w:rsidRPr="00925B59">
        <w:t xml:space="preserve"> a clear understanding of any legal requ</w:t>
      </w:r>
      <w:r>
        <w:t>irements for consultation</w:t>
      </w:r>
      <w:r w:rsidR="003F68A2">
        <w:t>.</w:t>
      </w:r>
    </w:p>
    <w:p w14:paraId="227684F5" w14:textId="77777777" w:rsidR="00F21519" w:rsidRDefault="00F21519" w:rsidP="00B12B13">
      <w:pPr>
        <w:widowControl w:val="0"/>
        <w:autoSpaceDE w:val="0"/>
        <w:autoSpaceDN w:val="0"/>
        <w:adjustRightInd w:val="0"/>
      </w:pPr>
    </w:p>
    <w:p w14:paraId="37D7654D" w14:textId="34045E0E" w:rsidR="00F21519" w:rsidRDefault="00F21519" w:rsidP="00B12B13">
      <w:pPr>
        <w:widowControl w:val="0"/>
        <w:autoSpaceDE w:val="0"/>
        <w:autoSpaceDN w:val="0"/>
        <w:adjustRightInd w:val="0"/>
      </w:pPr>
      <w:r>
        <w:t xml:space="preserve">Although </w:t>
      </w:r>
      <w:r w:rsidR="00D10339">
        <w:t xml:space="preserve">engagement recommendations exist in various Arctic Council reports and assessments, </w:t>
      </w:r>
      <w:r>
        <w:t>the Arctic Council has not created its o</w:t>
      </w:r>
      <w:r w:rsidR="00D10339">
        <w:t>wn Indigenous engagement policy. However,</w:t>
      </w:r>
      <w:r>
        <w:t xml:space="preserve"> the SDWG has provided recommendations for incorporating Indigenous Knowledge into Arctic Council projects. </w:t>
      </w:r>
      <w:r w:rsidR="005E09FB">
        <w:t>T</w:t>
      </w:r>
      <w:r w:rsidR="0024440D">
        <w:t xml:space="preserve">he Permanent Participants provide a clear entry point for Indigenous engagement within the Council. </w:t>
      </w:r>
      <w:r w:rsidR="00D10339">
        <w:t>A follow-up workshop to AMSA recommended that the Permanent Participants monitor progress and mechanisms for Indigenous engagement.</w:t>
      </w:r>
      <w:r w:rsidR="00D10339">
        <w:rPr>
          <w:rStyle w:val="FootnoteReference"/>
        </w:rPr>
        <w:footnoteReference w:id="125"/>
      </w:r>
      <w:r w:rsidR="00D10339">
        <w:t xml:space="preserve"> </w:t>
      </w:r>
      <w:r>
        <w:t>The Arctic Council has made few, if any, recommendations for other entities to create Indigenous engagement policies or to create MOUs or agreements to govern engagement processes.</w:t>
      </w:r>
    </w:p>
    <w:p w14:paraId="49BDD0A9" w14:textId="77777777" w:rsidR="006F2A45" w:rsidRDefault="006F2A45" w:rsidP="00457E75"/>
    <w:p w14:paraId="5515A15B" w14:textId="3411AF67" w:rsidR="008024DF" w:rsidRDefault="00C95A84" w:rsidP="00B12B13">
      <w:r>
        <w:t>Indigenous</w:t>
      </w:r>
      <w:r w:rsidR="00B50427" w:rsidRPr="00925B59">
        <w:t xml:space="preserve"> groups can be prepared for</w:t>
      </w:r>
      <w:r w:rsidR="00CA594C">
        <w:t xml:space="preserve"> engagement</w:t>
      </w:r>
      <w:r w:rsidR="001C4D9F">
        <w:t xml:space="preserve"> </w:t>
      </w:r>
      <w:r w:rsidR="00B50427" w:rsidRPr="00925B59">
        <w:t xml:space="preserve">by </w:t>
      </w:r>
      <w:r w:rsidR="00490CA5" w:rsidRPr="00925B59">
        <w:t xml:space="preserve">creating </w:t>
      </w:r>
      <w:r w:rsidR="008024DF">
        <w:t xml:space="preserve">internal and external protocols. An internal protocol can identify community objectives, </w:t>
      </w:r>
      <w:r w:rsidR="005561A0">
        <w:t xml:space="preserve">a description of the community’s decision making process throughout engagement, staff responsibilities, and a process for tracking engagement. The internal protocol can also identify </w:t>
      </w:r>
      <w:r w:rsidR="00B50427" w:rsidRPr="00925B59">
        <w:t xml:space="preserve">a process </w:t>
      </w:r>
      <w:r w:rsidR="005561A0">
        <w:t xml:space="preserve">for </w:t>
      </w:r>
      <w:r w:rsidR="00B50427" w:rsidRPr="00925B59">
        <w:t>receiv</w:t>
      </w:r>
      <w:r w:rsidR="005561A0">
        <w:t>ing</w:t>
      </w:r>
      <w:r w:rsidR="00B50427" w:rsidRPr="00925B59">
        <w:t xml:space="preserve"> and respon</w:t>
      </w:r>
      <w:r w:rsidR="00490CA5" w:rsidRPr="00925B59">
        <w:t>d</w:t>
      </w:r>
      <w:r w:rsidR="005561A0">
        <w:t>ing</w:t>
      </w:r>
      <w:r w:rsidR="00490CA5" w:rsidRPr="00925B59">
        <w:t xml:space="preserve"> to requests for </w:t>
      </w:r>
      <w:r w:rsidR="00F35C10">
        <w:t>engagement</w:t>
      </w:r>
      <w:r w:rsidR="00490CA5" w:rsidRPr="00925B59">
        <w:t xml:space="preserve">. </w:t>
      </w:r>
      <w:r w:rsidR="00B50427" w:rsidRPr="00925B59">
        <w:t>This process</w:t>
      </w:r>
      <w:r w:rsidR="00F35C10">
        <w:t xml:space="preserve"> can</w:t>
      </w:r>
      <w:r w:rsidR="00B50427" w:rsidRPr="00925B59">
        <w:t xml:space="preserve"> includes an initial screening of the request for </w:t>
      </w:r>
      <w:r w:rsidR="00F35C10">
        <w:t>engagement</w:t>
      </w:r>
      <w:r w:rsidR="00B50427" w:rsidRPr="00925B59">
        <w:t xml:space="preserve"> to determine if engagement may be warranted and a method of responding to the request within a define</w:t>
      </w:r>
      <w:r w:rsidR="00702808" w:rsidRPr="00925B59">
        <w:t>d</w:t>
      </w:r>
      <w:r w:rsidR="00B50427" w:rsidRPr="00925B59">
        <w:t xml:space="preserve"> timeframe.</w:t>
      </w:r>
      <w:r w:rsidR="00041083" w:rsidRPr="00925B59">
        <w:rPr>
          <w:rStyle w:val="FootnoteReference"/>
        </w:rPr>
        <w:footnoteReference w:id="126"/>
      </w:r>
      <w:r w:rsidR="00B50427" w:rsidRPr="00925B59">
        <w:t xml:space="preserve"> </w:t>
      </w:r>
      <w:r w:rsidR="00DC4E09" w:rsidRPr="00925B59">
        <w:t xml:space="preserve">The process can also include a broader decision-making </w:t>
      </w:r>
      <w:r w:rsidR="00DC4E09" w:rsidRPr="00925B59">
        <w:lastRenderedPageBreak/>
        <w:t>framework to guide a comprehensive evaluation of proposed projects against a community’s development plans and cultural and environmental protection policies.</w:t>
      </w:r>
      <w:bookmarkStart w:id="61" w:name="_Ref333569950"/>
      <w:r w:rsidR="009D68AD" w:rsidRPr="00925B59">
        <w:rPr>
          <w:rStyle w:val="FootnoteReference"/>
        </w:rPr>
        <w:footnoteReference w:id="127"/>
      </w:r>
      <w:bookmarkEnd w:id="61"/>
      <w:r w:rsidR="00DC4E09" w:rsidRPr="00925B59">
        <w:t xml:space="preserve"> </w:t>
      </w:r>
    </w:p>
    <w:p w14:paraId="6293603F" w14:textId="77777777" w:rsidR="009942A5" w:rsidRDefault="009942A5" w:rsidP="00B12B13"/>
    <w:p w14:paraId="4AE0330B" w14:textId="24AF0F95" w:rsidR="009942A5" w:rsidRPr="00F73D29" w:rsidRDefault="009942A5" w:rsidP="00B12B13">
      <w:r>
        <w:t>E</w:t>
      </w:r>
      <w:r w:rsidR="006A31EE">
        <w:t>x</w:t>
      </w:r>
      <w:r w:rsidR="00D136AF">
        <w:t>t</w:t>
      </w:r>
      <w:r>
        <w:t xml:space="preserve">ernal </w:t>
      </w:r>
      <w:r w:rsidRPr="00925B59">
        <w:t xml:space="preserve">engagement protocols </w:t>
      </w:r>
      <w:r>
        <w:t>can</w:t>
      </w:r>
      <w:r w:rsidRPr="00925B59">
        <w:t xml:space="preserve"> specify the community’s expectations with re</w:t>
      </w:r>
      <w:r>
        <w:t xml:space="preserve">spect to </w:t>
      </w:r>
      <w:r w:rsidRPr="00925B59">
        <w:t xml:space="preserve">consultation </w:t>
      </w:r>
      <w:r w:rsidRPr="00F73D29">
        <w:t>and engagement processes.</w:t>
      </w:r>
      <w:bookmarkStart w:id="62" w:name="_Ref334001400"/>
      <w:r w:rsidRPr="00F73D29">
        <w:rPr>
          <w:rStyle w:val="FootnoteReference"/>
        </w:rPr>
        <w:footnoteReference w:id="128"/>
      </w:r>
      <w:bookmarkEnd w:id="62"/>
      <w:r w:rsidRPr="00F73D29">
        <w:t xml:space="preserve"> Some of these protocols are accompanied by descriptions of traditional territory.</w:t>
      </w:r>
      <w:r w:rsidRPr="00F73D29">
        <w:rPr>
          <w:rStyle w:val="FootnoteReference"/>
        </w:rPr>
        <w:footnoteReference w:id="129"/>
      </w:r>
    </w:p>
    <w:p w14:paraId="1FD6A7F1" w14:textId="77777777" w:rsidR="001E0DBC" w:rsidRPr="00F73D29" w:rsidRDefault="001E0DBC" w:rsidP="00B12B13"/>
    <w:p w14:paraId="49F45CDC" w14:textId="1D9AC4D8" w:rsidR="008024DF" w:rsidRPr="00D8359C" w:rsidRDefault="001E0DBC" w:rsidP="00D8359C">
      <w:pPr>
        <w:widowControl w:val="0"/>
        <w:autoSpaceDE w:val="0"/>
        <w:autoSpaceDN w:val="0"/>
        <w:adjustRightInd w:val="0"/>
        <w:spacing w:after="240"/>
        <w:rPr>
          <w:lang w:val="en-US"/>
        </w:rPr>
      </w:pPr>
      <w:r w:rsidRPr="009D4277">
        <w:t>Resource development committees can</w:t>
      </w:r>
      <w:r w:rsidR="00F73D29" w:rsidRPr="00641682">
        <w:t xml:space="preserve"> provide a clear entry point into communities for outsiders,</w:t>
      </w:r>
      <w:r w:rsidRPr="009E3A5B">
        <w:t xml:space="preserve"> </w:t>
      </w:r>
      <w:r w:rsidRPr="009E3A5B">
        <w:rPr>
          <w:lang w:val="en-US"/>
        </w:rPr>
        <w:t xml:space="preserve">facilitate a coordinated response to project proposals, provide a vehicle for the development of guidelines and protocols, and </w:t>
      </w:r>
      <w:r w:rsidR="00F73D29" w:rsidRPr="009E3A5B">
        <w:rPr>
          <w:lang w:val="en-US"/>
        </w:rPr>
        <w:t xml:space="preserve">foster </w:t>
      </w:r>
      <w:r w:rsidRPr="009E3A5B">
        <w:rPr>
          <w:lang w:val="en-US"/>
        </w:rPr>
        <w:t>the development of exp</w:t>
      </w:r>
      <w:r w:rsidR="00F73D29" w:rsidRPr="009E3A5B">
        <w:rPr>
          <w:lang w:val="en-US"/>
        </w:rPr>
        <w:t>ertise needed to negotiate favo</w:t>
      </w:r>
      <w:r w:rsidRPr="009E3A5B">
        <w:rPr>
          <w:lang w:val="en-US"/>
        </w:rPr>
        <w:t>rable Impact Benefit Agreements (IBAs).</w:t>
      </w:r>
      <w:bookmarkStart w:id="63" w:name="_Ref333568407"/>
      <w:r w:rsidR="00F73D29">
        <w:rPr>
          <w:rStyle w:val="FootnoteReference"/>
          <w:lang w:val="en-US"/>
        </w:rPr>
        <w:footnoteReference w:id="130"/>
      </w:r>
      <w:bookmarkEnd w:id="63"/>
      <w:r w:rsidRPr="009E3A5B">
        <w:rPr>
          <w:lang w:val="en-US"/>
        </w:rPr>
        <w:t xml:space="preserve"> </w:t>
      </w:r>
    </w:p>
    <w:p w14:paraId="0EF22D8F" w14:textId="03AA1DBF" w:rsidR="00E47A93" w:rsidRPr="00925B59" w:rsidRDefault="00C95A84" w:rsidP="00B12B13">
      <w:r>
        <w:t>Indigenous</w:t>
      </w:r>
      <w:r w:rsidR="00B50427" w:rsidRPr="00925B59">
        <w:t xml:space="preserve"> organizations need a consistent baseline level of resources to meet </w:t>
      </w:r>
      <w:r w:rsidR="008024DF">
        <w:t xml:space="preserve">even </w:t>
      </w:r>
      <w:r w:rsidR="00B50427" w:rsidRPr="00925B59">
        <w:t>the</w:t>
      </w:r>
      <w:r w:rsidR="008024DF">
        <w:t xml:space="preserve"> most basic </w:t>
      </w:r>
      <w:r w:rsidR="00B50427" w:rsidRPr="00925B59">
        <w:t>administrative responsibilities</w:t>
      </w:r>
      <w:r w:rsidR="00953CA4">
        <w:t xml:space="preserve"> related to engagement</w:t>
      </w:r>
      <w:r w:rsidR="00B50427" w:rsidRPr="00925B59">
        <w:t>.</w:t>
      </w:r>
      <w:bookmarkStart w:id="64" w:name="_Ref334005938"/>
      <w:r w:rsidR="00B50427" w:rsidRPr="00925B59">
        <w:rPr>
          <w:rStyle w:val="FootnoteReference"/>
        </w:rPr>
        <w:footnoteReference w:id="131"/>
      </w:r>
      <w:bookmarkEnd w:id="64"/>
      <w:r w:rsidR="00DC4E09" w:rsidRPr="00925B59">
        <w:t xml:space="preserve"> Governments can</w:t>
      </w:r>
      <w:r w:rsidR="00B50427" w:rsidRPr="00925B59">
        <w:t xml:space="preserve"> work with </w:t>
      </w:r>
      <w:r>
        <w:t>Indigenous</w:t>
      </w:r>
      <w:r w:rsidR="00FC63E1">
        <w:t xml:space="preserve"> Peoples</w:t>
      </w:r>
      <w:r w:rsidR="00B50427" w:rsidRPr="00925B59">
        <w:t xml:space="preserve"> </w:t>
      </w:r>
      <w:r w:rsidR="00C51B8D" w:rsidRPr="00925B59">
        <w:t xml:space="preserve">and communities </w:t>
      </w:r>
      <w:r w:rsidR="00B50427" w:rsidRPr="00925B59">
        <w:t>to determine how to support these needs.</w:t>
      </w:r>
      <w:r w:rsidR="00B50427" w:rsidRPr="00925B59">
        <w:rPr>
          <w:rStyle w:val="FootnoteReference"/>
        </w:rPr>
        <w:footnoteReference w:id="132"/>
      </w:r>
      <w:r w:rsidR="009C134F" w:rsidRPr="00925B59">
        <w:t xml:space="preserve"> </w:t>
      </w:r>
      <w:r w:rsidR="005710E6" w:rsidRPr="00925B59">
        <w:t>Beyond securing</w:t>
      </w:r>
      <w:r w:rsidR="009C134F" w:rsidRPr="00925B59">
        <w:t xml:space="preserve"> adequate resources to</w:t>
      </w:r>
      <w:r w:rsidR="00953CA4">
        <w:t xml:space="preserve"> cover</w:t>
      </w:r>
      <w:r w:rsidR="005710E6" w:rsidRPr="00925B59">
        <w:t xml:space="preserve"> operational expenses related to engagement</w:t>
      </w:r>
      <w:r w:rsidR="009C134F" w:rsidRPr="00925B59">
        <w:t xml:space="preserve">, </w:t>
      </w:r>
      <w:r>
        <w:t>Indigenous</w:t>
      </w:r>
      <w:r w:rsidR="00FC63E1">
        <w:t xml:space="preserve"> Peoples</w:t>
      </w:r>
      <w:r w:rsidR="009C134F" w:rsidRPr="00925B59">
        <w:t xml:space="preserve"> also face the difficult challenge of determining how much of their lives and traditions to sacrifice in meeting the demands of engagement. As the Alaskan community of </w:t>
      </w:r>
      <w:proofErr w:type="spellStart"/>
      <w:r w:rsidR="009C134F" w:rsidRPr="00925B59">
        <w:t>Nuiq</w:t>
      </w:r>
      <w:r w:rsidR="00000D5F" w:rsidRPr="00925B59">
        <w:t>s</w:t>
      </w:r>
      <w:r w:rsidR="009C134F" w:rsidRPr="00925B59">
        <w:t>ut</w:t>
      </w:r>
      <w:proofErr w:type="spellEnd"/>
      <w:r w:rsidR="009C134F" w:rsidRPr="00925B59">
        <w:t xml:space="preserve"> ar</w:t>
      </w:r>
      <w:r w:rsidR="00E47A93" w:rsidRPr="00925B59">
        <w:t>ticulated nearly 40 years ago:</w:t>
      </w:r>
    </w:p>
    <w:p w14:paraId="78D0B086" w14:textId="77777777" w:rsidR="009D3BFF" w:rsidRPr="00925B59" w:rsidRDefault="009D3BFF" w:rsidP="00B12B13"/>
    <w:p w14:paraId="4E8BE165" w14:textId="604F6C71" w:rsidR="00B50427" w:rsidRPr="00925B59" w:rsidRDefault="00000D5F" w:rsidP="0014012B">
      <w:pPr>
        <w:ind w:left="720" w:right="720"/>
      </w:pPr>
      <w:r w:rsidRPr="00925B59">
        <w:t>T</w:t>
      </w:r>
      <w:r w:rsidR="009C134F" w:rsidRPr="00925B59">
        <w:t xml:space="preserve">he new system involves indirect communications with strangers and few measurable results. This would be bad enough if there were basic agreement on desired results. But often the two cultures are far apart on </w:t>
      </w:r>
      <w:r w:rsidRPr="00925B59">
        <w:t xml:space="preserve">both ends and means because of </w:t>
      </w:r>
      <w:r w:rsidR="009C134F" w:rsidRPr="00925B59">
        <w:t xml:space="preserve">profoundly different cultural ideals. </w:t>
      </w:r>
      <w:proofErr w:type="spellStart"/>
      <w:r w:rsidR="009C134F" w:rsidRPr="00925B59">
        <w:t>Nuiqsut’s</w:t>
      </w:r>
      <w:proofErr w:type="spellEnd"/>
      <w:r w:rsidR="009C134F" w:rsidRPr="00925B59">
        <w:t xml:space="preserve"> dilemma stems from these cultural </w:t>
      </w:r>
      <w:r w:rsidRPr="00925B59">
        <w:t>cross-purposes</w:t>
      </w:r>
      <w:r w:rsidR="009C134F" w:rsidRPr="00925B59">
        <w:t xml:space="preserve">. If, in the attempt to save their heritage, village people become immersed in the meeting-paperwork-telephone world of the new culture, </w:t>
      </w:r>
      <w:r w:rsidR="00E47A93" w:rsidRPr="00925B59">
        <w:t>they may be indirectly co-opted. If, in frustration, they withdraw to pursue traditiona</w:t>
      </w:r>
      <w:r w:rsidRPr="00925B59">
        <w:t>l</w:t>
      </w:r>
      <w:r w:rsidR="00E47A93" w:rsidRPr="00925B59">
        <w:t xml:space="preserve"> activities, they may forfeit their heritage by inaction.</w:t>
      </w:r>
      <w:r w:rsidR="00E47A93" w:rsidRPr="00925B59">
        <w:rPr>
          <w:rStyle w:val="FootnoteReference"/>
        </w:rPr>
        <w:footnoteReference w:id="133"/>
      </w:r>
    </w:p>
    <w:p w14:paraId="6752CD76" w14:textId="77777777" w:rsidR="00B50427" w:rsidRPr="00925B59" w:rsidRDefault="00B50427" w:rsidP="00B12B13"/>
    <w:p w14:paraId="6EBDD1FF" w14:textId="78FF3FD5" w:rsidR="0042672C" w:rsidRPr="00925B59" w:rsidRDefault="0042672C" w:rsidP="0042672C">
      <w:pPr>
        <w:widowControl w:val="0"/>
        <w:autoSpaceDE w:val="0"/>
        <w:autoSpaceDN w:val="0"/>
        <w:adjustRightInd w:val="0"/>
      </w:pPr>
      <w:r>
        <w:t>For Indigenous Peoples, having adequate time and resources to adequately prepare for engagement is particularly important because it facilitates their ability to weigh trade-offs in both the engagement process itself as well as with the proposed activity. This preparation better enables Indigenous Peoples to make decisions based on their knowledge, internal decision-making processes, cultural norms, and traditional management.</w:t>
      </w:r>
      <w:r w:rsidRPr="00925B59">
        <w:t xml:space="preserve"> Increased cooperation among </w:t>
      </w:r>
      <w:r>
        <w:lastRenderedPageBreak/>
        <w:t>Indigenous</w:t>
      </w:r>
      <w:r w:rsidRPr="00925B59">
        <w:t xml:space="preserve"> communities across the Ar</w:t>
      </w:r>
      <w:r w:rsidR="00995083">
        <w:t xml:space="preserve">ctic on engagement issues is an </w:t>
      </w:r>
      <w:r w:rsidRPr="00925B59">
        <w:t>important aspect of advanced planning</w:t>
      </w:r>
      <w:r w:rsidR="00995083">
        <w:t xml:space="preserve"> and ongoing engagement</w:t>
      </w:r>
      <w:r w:rsidRPr="00925B59">
        <w:t xml:space="preserve"> for </w:t>
      </w:r>
      <w:r>
        <w:t>Indigenous Peoples</w:t>
      </w:r>
      <w:r w:rsidRPr="00925B59">
        <w:t xml:space="preserve"> because it enables them to better advocate and argue for their rights.</w:t>
      </w:r>
      <w:r w:rsidRPr="00925B59">
        <w:rPr>
          <w:rStyle w:val="FootnoteReference"/>
        </w:rPr>
        <w:footnoteReference w:id="134"/>
      </w:r>
      <w:r w:rsidRPr="00925B59">
        <w:t xml:space="preserve"> </w:t>
      </w:r>
    </w:p>
    <w:p w14:paraId="4E38A925" w14:textId="77777777" w:rsidR="0042672C" w:rsidRDefault="0042672C" w:rsidP="00B12B13"/>
    <w:p w14:paraId="611E5E77" w14:textId="2FB98580" w:rsidR="00105FE0" w:rsidRPr="00925B59" w:rsidRDefault="00002557" w:rsidP="00105FE0">
      <w:pPr>
        <w:widowControl w:val="0"/>
        <w:autoSpaceDE w:val="0"/>
        <w:autoSpaceDN w:val="0"/>
        <w:adjustRightInd w:val="0"/>
      </w:pPr>
      <w:r w:rsidRPr="00662C0C">
        <w:rPr>
          <w:bCs/>
        </w:rPr>
        <w:t xml:space="preserve">Inuit </w:t>
      </w:r>
      <w:proofErr w:type="spellStart"/>
      <w:r w:rsidRPr="00662C0C">
        <w:rPr>
          <w:bCs/>
        </w:rPr>
        <w:t>Tapiriit</w:t>
      </w:r>
      <w:proofErr w:type="spellEnd"/>
      <w:r w:rsidRPr="00662C0C">
        <w:rPr>
          <w:bCs/>
        </w:rPr>
        <w:t xml:space="preserve"> </w:t>
      </w:r>
      <w:proofErr w:type="spellStart"/>
      <w:r w:rsidRPr="00662C0C">
        <w:rPr>
          <w:bCs/>
        </w:rPr>
        <w:t>Kanatami</w:t>
      </w:r>
      <w:proofErr w:type="spellEnd"/>
      <w:r>
        <w:rPr>
          <w:bCs/>
        </w:rPr>
        <w:t xml:space="preserve"> has provided guidance to researchers about how they can be adequately prepared for engagement.</w:t>
      </w:r>
      <w:bookmarkStart w:id="65" w:name="_Ref333381119"/>
      <w:r>
        <w:rPr>
          <w:rStyle w:val="FootnoteReference"/>
          <w:bCs/>
        </w:rPr>
        <w:footnoteReference w:id="135"/>
      </w:r>
      <w:bookmarkEnd w:id="65"/>
      <w:r w:rsidR="000F559A">
        <w:rPr>
          <w:bCs/>
        </w:rPr>
        <w:t xml:space="preserve"> </w:t>
      </w:r>
      <w:r w:rsidR="00105FE0">
        <w:t>For governments seeking to fulfill the legal requirements of formal consultation, d</w:t>
      </w:r>
      <w:r w:rsidR="00105FE0" w:rsidRPr="00925B59">
        <w:t xml:space="preserve">epartment or agency-level </w:t>
      </w:r>
      <w:r w:rsidR="00105FE0">
        <w:t>Indigenous</w:t>
      </w:r>
      <w:r w:rsidR="00105FE0" w:rsidRPr="00925B59">
        <w:t xml:space="preserve"> consultation procedures</w:t>
      </w:r>
      <w:r w:rsidR="00105FE0">
        <w:t xml:space="preserve"> and communications protocols</w:t>
      </w:r>
      <w:r w:rsidR="00105FE0" w:rsidRPr="00925B59">
        <w:t xml:space="preserve"> can be helpful by providing a more detailed explanation of how a particular government office should prepare for engagement.</w:t>
      </w:r>
      <w:r w:rsidR="00105FE0" w:rsidRPr="00925B59">
        <w:rPr>
          <w:rStyle w:val="FootnoteReference"/>
        </w:rPr>
        <w:footnoteReference w:id="136"/>
      </w:r>
      <w:r w:rsidR="00105FE0" w:rsidRPr="00925B59">
        <w:t xml:space="preserve"> Similarly, corporate communications or engagement plans can help guide a project proponent’s preparation for</w:t>
      </w:r>
      <w:r w:rsidR="00F35C10">
        <w:t xml:space="preserve"> engagement</w:t>
      </w:r>
      <w:r w:rsidR="00105FE0" w:rsidRPr="00925B59">
        <w:t>.</w:t>
      </w:r>
      <w:r w:rsidR="00105FE0" w:rsidRPr="00925B59">
        <w:rPr>
          <w:rStyle w:val="FootnoteReference"/>
        </w:rPr>
        <w:footnoteReference w:id="137"/>
      </w:r>
      <w:r w:rsidR="00105FE0" w:rsidRPr="00925B59">
        <w:t xml:space="preserve"> These types of plans often build off the broader principles identified in the corporation’s </w:t>
      </w:r>
      <w:r w:rsidR="00105FE0">
        <w:t>Indigenous</w:t>
      </w:r>
      <w:r w:rsidR="00105FE0" w:rsidRPr="00925B59">
        <w:t xml:space="preserve"> engagement policy.</w:t>
      </w:r>
      <w:r w:rsidR="00105FE0" w:rsidRPr="00925B59">
        <w:rPr>
          <w:rStyle w:val="FootnoteReference"/>
        </w:rPr>
        <w:footnoteReference w:id="138"/>
      </w:r>
      <w:r w:rsidR="00105FE0" w:rsidRPr="00925B59">
        <w:t xml:space="preserve"> For </w:t>
      </w:r>
      <w:r w:rsidR="00105FE0">
        <w:t>companies</w:t>
      </w:r>
      <w:r w:rsidR="00105FE0" w:rsidRPr="00925B59">
        <w:t>, engagement is most successful when managed like any other business function – with a well-defined strategy and systemic approach.</w:t>
      </w:r>
      <w:r w:rsidR="00105FE0" w:rsidRPr="00925B59">
        <w:rPr>
          <w:rStyle w:val="FootnoteReference"/>
        </w:rPr>
        <w:footnoteReference w:id="139"/>
      </w:r>
      <w:r w:rsidR="00105FE0">
        <w:t xml:space="preserve"> It is equally important that this approach includes flexibility.</w:t>
      </w:r>
      <w:r w:rsidR="00D54B10">
        <w:t xml:space="preserve"> </w:t>
      </w:r>
    </w:p>
    <w:p w14:paraId="3F0FEDB0" w14:textId="77777777" w:rsidR="00105FE0" w:rsidRDefault="00105FE0" w:rsidP="00B12B13"/>
    <w:p w14:paraId="704FC09F" w14:textId="53492B6C" w:rsidR="00F20B98" w:rsidRPr="00647528" w:rsidRDefault="00B50427" w:rsidP="00647528">
      <w:pPr>
        <w:widowControl w:val="0"/>
        <w:tabs>
          <w:tab w:val="left" w:pos="220"/>
          <w:tab w:val="left" w:pos="720"/>
        </w:tabs>
        <w:autoSpaceDE w:val="0"/>
        <w:autoSpaceDN w:val="0"/>
        <w:adjustRightInd w:val="0"/>
        <w:spacing w:after="240"/>
        <w:rPr>
          <w:rFonts w:ascii="Times" w:hAnsi="Times" w:cs="Times"/>
          <w:lang w:val="en-US"/>
        </w:rPr>
      </w:pPr>
      <w:r w:rsidRPr="00925B59">
        <w:t>An MOU or joint consultation</w:t>
      </w:r>
      <w:r w:rsidR="004649A3">
        <w:t xml:space="preserve"> or engagement</w:t>
      </w:r>
      <w:r w:rsidRPr="00925B59">
        <w:t xml:space="preserve"> plan among the parties can help to clarify </w:t>
      </w:r>
      <w:r w:rsidR="00787989" w:rsidRPr="00925B59">
        <w:t xml:space="preserve">mutual expectations </w:t>
      </w:r>
      <w:r w:rsidR="00105FE0" w:rsidRPr="00404EDC">
        <w:t xml:space="preserve">as to </w:t>
      </w:r>
      <w:r w:rsidRPr="00404EDC">
        <w:t>how the engagement process will occur.</w:t>
      </w:r>
      <w:bookmarkStart w:id="66" w:name="_Ref334002328"/>
      <w:r w:rsidRPr="00404EDC">
        <w:rPr>
          <w:rStyle w:val="FootnoteReference"/>
        </w:rPr>
        <w:footnoteReference w:id="140"/>
      </w:r>
      <w:bookmarkEnd w:id="66"/>
      <w:r w:rsidRPr="00404EDC">
        <w:t xml:space="preserve"> </w:t>
      </w:r>
      <w:r w:rsidR="00F05E97" w:rsidRPr="00404EDC">
        <w:t xml:space="preserve">The process of creating a plan helps relationship building and creates an equitable platform. Trust and respect are also developed as engagement proceeds in accordance with the protocol over time. </w:t>
      </w:r>
      <w:r w:rsidR="00907097" w:rsidRPr="00404EDC">
        <w:t xml:space="preserve">In Canada, </w:t>
      </w:r>
      <w:r w:rsidR="00C95A84" w:rsidRPr="00404EDC">
        <w:t>Indigenous</w:t>
      </w:r>
      <w:r w:rsidR="00FC63E1" w:rsidRPr="00404EDC">
        <w:t xml:space="preserve"> Peoples</w:t>
      </w:r>
      <w:r w:rsidR="002A51F0" w:rsidRPr="00404EDC">
        <w:t xml:space="preserve"> have emphasized the importance of these protocols or plans. </w:t>
      </w:r>
      <w:r w:rsidR="00662C0C" w:rsidRPr="00404EDC">
        <w:t xml:space="preserve">For example, </w:t>
      </w:r>
      <w:r w:rsidR="00404EDC" w:rsidRPr="00404EDC">
        <w:rPr>
          <w:bCs/>
        </w:rPr>
        <w:t xml:space="preserve">Inuit </w:t>
      </w:r>
      <w:proofErr w:type="spellStart"/>
      <w:r w:rsidR="00404EDC" w:rsidRPr="00404EDC">
        <w:rPr>
          <w:bCs/>
        </w:rPr>
        <w:t>Tapiriit</w:t>
      </w:r>
      <w:proofErr w:type="spellEnd"/>
      <w:r w:rsidR="00404EDC" w:rsidRPr="00404EDC">
        <w:rPr>
          <w:bCs/>
        </w:rPr>
        <w:t xml:space="preserve"> </w:t>
      </w:r>
      <w:proofErr w:type="spellStart"/>
      <w:r w:rsidR="00404EDC" w:rsidRPr="00404EDC">
        <w:rPr>
          <w:bCs/>
        </w:rPr>
        <w:t>Kanatami</w:t>
      </w:r>
      <w:proofErr w:type="spellEnd"/>
      <w:r w:rsidR="00662C0C" w:rsidRPr="00404EDC">
        <w:t xml:space="preserve"> recommends that researchers negotiate a </w:t>
      </w:r>
      <w:r w:rsidR="00404EDC" w:rsidRPr="00404EDC">
        <w:t xml:space="preserve">research relationship to ensure </w:t>
      </w:r>
      <w:r w:rsidR="00404EDC" w:rsidRPr="00404EDC">
        <w:rPr>
          <w:lang w:val="en-US"/>
        </w:rPr>
        <w:t>responsible, reciprocal, and mutually beneficial research.</w:t>
      </w:r>
      <w:bookmarkStart w:id="67" w:name="_Ref333380872"/>
      <w:r w:rsidR="00662C0C" w:rsidRPr="00404EDC">
        <w:rPr>
          <w:rStyle w:val="FootnoteReference"/>
        </w:rPr>
        <w:footnoteReference w:id="141"/>
      </w:r>
      <w:bookmarkEnd w:id="67"/>
      <w:r w:rsidR="00404EDC" w:rsidRPr="00404EDC">
        <w:rPr>
          <w:lang w:val="en-US"/>
        </w:rPr>
        <w:t xml:space="preserve"> </w:t>
      </w:r>
      <w:r w:rsidR="007F575D">
        <w:rPr>
          <w:lang w:val="en-US"/>
        </w:rPr>
        <w:t xml:space="preserve">An example of an MOU for a development project is that between the government of Canada and the Dene </w:t>
      </w:r>
      <w:proofErr w:type="spellStart"/>
      <w:r w:rsidR="007F575D">
        <w:rPr>
          <w:lang w:val="en-US"/>
        </w:rPr>
        <w:t>Tha</w:t>
      </w:r>
      <w:proofErr w:type="spellEnd"/>
      <w:r w:rsidR="007F575D">
        <w:rPr>
          <w:lang w:val="en-US"/>
        </w:rPr>
        <w:t xml:space="preserve">’ First Nation for the </w:t>
      </w:r>
      <w:proofErr w:type="spellStart"/>
      <w:r w:rsidR="007F575D">
        <w:rPr>
          <w:lang w:val="en-US"/>
        </w:rPr>
        <w:t>MacKenzie</w:t>
      </w:r>
      <w:proofErr w:type="spellEnd"/>
      <w:r w:rsidR="007F575D">
        <w:rPr>
          <w:lang w:val="en-US"/>
        </w:rPr>
        <w:t xml:space="preserve"> Gas Project, which includes </w:t>
      </w:r>
      <w:r w:rsidR="00E1523A">
        <w:rPr>
          <w:lang w:val="en-US"/>
        </w:rPr>
        <w:t xml:space="preserve">guiding principles, </w:t>
      </w:r>
      <w:r w:rsidR="007F575D">
        <w:rPr>
          <w:lang w:val="en-US"/>
        </w:rPr>
        <w:t xml:space="preserve">the specific representatives that should be contacted, </w:t>
      </w:r>
      <w:r w:rsidR="00E1523A">
        <w:rPr>
          <w:lang w:val="en-US"/>
        </w:rPr>
        <w:t xml:space="preserve">and </w:t>
      </w:r>
      <w:r w:rsidR="007F575D">
        <w:rPr>
          <w:lang w:val="en-US"/>
        </w:rPr>
        <w:t>a process</w:t>
      </w:r>
      <w:r w:rsidR="00E1523A">
        <w:rPr>
          <w:lang w:val="en-US"/>
        </w:rPr>
        <w:t xml:space="preserve"> and timetable for identifying and discussing c</w:t>
      </w:r>
      <w:r w:rsidR="007F575D">
        <w:rPr>
          <w:lang w:val="en-US"/>
        </w:rPr>
        <w:t>oncerns</w:t>
      </w:r>
      <w:r w:rsidR="00E1523A">
        <w:rPr>
          <w:lang w:val="en-US"/>
        </w:rPr>
        <w:t xml:space="preserve"> and information, as well as potential impacts, mitigation and accommodation. The protocol also addresses funding and dispute resolution.</w:t>
      </w:r>
      <w:r w:rsidR="00AD5158" w:rsidRPr="00404EDC">
        <w:rPr>
          <w:rStyle w:val="FootnoteReference"/>
        </w:rPr>
        <w:footnoteReference w:id="142"/>
      </w:r>
      <w:r w:rsidR="005674C1">
        <w:rPr>
          <w:lang w:val="en-US"/>
        </w:rPr>
        <w:t xml:space="preserve"> </w:t>
      </w:r>
      <w:r w:rsidR="002E387E" w:rsidRPr="00404EDC">
        <w:t xml:space="preserve">In Norway, government authorities and the Saami </w:t>
      </w:r>
      <w:r w:rsidR="002E387E" w:rsidRPr="00404EDC">
        <w:lastRenderedPageBreak/>
        <w:t>Parliament also make use of a jointly created consultation plan.</w:t>
      </w:r>
      <w:r w:rsidR="002E387E" w:rsidRPr="00404EDC">
        <w:rPr>
          <w:rStyle w:val="FootnoteReference"/>
        </w:rPr>
        <w:footnoteReference w:id="143"/>
      </w:r>
    </w:p>
    <w:p w14:paraId="6EA105AD" w14:textId="223043D3" w:rsidR="00B50427" w:rsidRPr="00925B59" w:rsidRDefault="00DC6141" w:rsidP="00B12B13">
      <w:r w:rsidRPr="00925B59">
        <w:t>Similarly, a collaborative research agreement can identify the objectives and process for conducting scientific research.</w:t>
      </w:r>
      <w:r w:rsidRPr="00925B59">
        <w:rPr>
          <w:rStyle w:val="FootnoteReference"/>
        </w:rPr>
        <w:footnoteReference w:id="144"/>
      </w:r>
      <w:r w:rsidR="009D3BFF" w:rsidRPr="00925B59">
        <w:t xml:space="preserve"> Environmental groups and others conducting activities in the Arctic can propose analogous MOUs with </w:t>
      </w:r>
      <w:r w:rsidR="00C95A84">
        <w:t>Indigenous</w:t>
      </w:r>
      <w:r w:rsidR="00FC63E1">
        <w:t xml:space="preserve"> Peoples</w:t>
      </w:r>
      <w:r w:rsidR="009D3BFF" w:rsidRPr="00925B59">
        <w:t xml:space="preserve"> to govern their relationships generally or on specific projects. </w:t>
      </w:r>
    </w:p>
    <w:p w14:paraId="3263A793" w14:textId="77777777" w:rsidR="00B50427" w:rsidRPr="00E76FA0" w:rsidRDefault="00B50427" w:rsidP="00B12B13"/>
    <w:p w14:paraId="34207145" w14:textId="18B39EE3" w:rsidR="00B50427" w:rsidRPr="00F934A5" w:rsidRDefault="00411F5D" w:rsidP="00E76FA0">
      <w:pPr>
        <w:pStyle w:val="Heading2"/>
        <w:numPr>
          <w:ilvl w:val="0"/>
          <w:numId w:val="20"/>
        </w:numPr>
        <w:rPr>
          <w:rFonts w:ascii="Times New Roman" w:hAnsi="Times New Roman" w:cs="Times New Roman"/>
          <w:color w:val="auto"/>
          <w:sz w:val="24"/>
          <w:szCs w:val="24"/>
          <w:u w:val="single"/>
        </w:rPr>
      </w:pPr>
      <w:bookmarkStart w:id="68" w:name="_Toc334125706"/>
      <w:r w:rsidRPr="00F934A5">
        <w:rPr>
          <w:rFonts w:ascii="Times New Roman" w:hAnsi="Times New Roman" w:cs="Times New Roman"/>
          <w:color w:val="auto"/>
          <w:sz w:val="24"/>
          <w:szCs w:val="24"/>
          <w:u w:val="single"/>
        </w:rPr>
        <w:t>C</w:t>
      </w:r>
      <w:r w:rsidR="00B50427" w:rsidRPr="00F934A5">
        <w:rPr>
          <w:rFonts w:ascii="Times New Roman" w:hAnsi="Times New Roman" w:cs="Times New Roman"/>
          <w:color w:val="auto"/>
          <w:sz w:val="24"/>
          <w:szCs w:val="24"/>
          <w:u w:val="single"/>
        </w:rPr>
        <w:t>areful evaluation of the parties who will participate in the process</w:t>
      </w:r>
      <w:bookmarkEnd w:id="68"/>
      <w:r w:rsidR="00B50427" w:rsidRPr="00F934A5">
        <w:rPr>
          <w:rFonts w:ascii="Times New Roman" w:hAnsi="Times New Roman" w:cs="Times New Roman"/>
          <w:color w:val="auto"/>
          <w:sz w:val="24"/>
          <w:szCs w:val="24"/>
          <w:u w:val="single"/>
        </w:rPr>
        <w:t xml:space="preserve"> </w:t>
      </w:r>
    </w:p>
    <w:p w14:paraId="0D8B7B24" w14:textId="77777777" w:rsidR="00F9259D" w:rsidRDefault="00F9259D" w:rsidP="00B12B13">
      <w:pPr>
        <w:widowControl w:val="0"/>
        <w:autoSpaceDE w:val="0"/>
        <w:autoSpaceDN w:val="0"/>
        <w:adjustRightInd w:val="0"/>
      </w:pPr>
    </w:p>
    <w:p w14:paraId="1D60DC11" w14:textId="77777777" w:rsidR="00C041F4" w:rsidRDefault="004D1692" w:rsidP="00D8359C">
      <w:pPr>
        <w:widowControl w:val="0"/>
        <w:tabs>
          <w:tab w:val="left" w:pos="220"/>
          <w:tab w:val="left" w:pos="720"/>
        </w:tabs>
        <w:autoSpaceDE w:val="0"/>
        <w:autoSpaceDN w:val="0"/>
        <w:adjustRightInd w:val="0"/>
        <w:spacing w:after="240"/>
      </w:pPr>
      <w:r>
        <w:t>A meaningful process of engagement must respect the structure of Indigenous communities and</w:t>
      </w:r>
      <w:r w:rsidR="004378B5">
        <w:t xml:space="preserve"> th</w:t>
      </w:r>
      <w:r w:rsidR="00A65D3D">
        <w:t xml:space="preserve">eir forms of governance; thus, </w:t>
      </w:r>
      <w:r>
        <w:t>Indigenous Peoples</w:t>
      </w:r>
      <w:r w:rsidRPr="00925B59">
        <w:t xml:space="preserve"> should be </w:t>
      </w:r>
      <w:r>
        <w:t>engaged</w:t>
      </w:r>
      <w:r w:rsidRPr="00925B59">
        <w:t xml:space="preserve"> through their </w:t>
      </w:r>
      <w:r w:rsidRPr="00D359C1">
        <w:t xml:space="preserve">representative institutions. </w:t>
      </w:r>
    </w:p>
    <w:p w14:paraId="136933B1" w14:textId="509011B2" w:rsidR="004D1692" w:rsidRPr="00D8359C" w:rsidRDefault="00F02D1B" w:rsidP="00D8359C">
      <w:pPr>
        <w:widowControl w:val="0"/>
        <w:tabs>
          <w:tab w:val="left" w:pos="220"/>
          <w:tab w:val="left" w:pos="720"/>
        </w:tabs>
        <w:autoSpaceDE w:val="0"/>
        <w:autoSpaceDN w:val="0"/>
        <w:adjustRightInd w:val="0"/>
        <w:spacing w:after="240"/>
        <w:rPr>
          <w:rFonts w:ascii="Times" w:hAnsi="Times"/>
          <w:lang w:val="en-US"/>
        </w:rPr>
      </w:pPr>
      <w:r w:rsidRPr="00D359C1">
        <w:t>Within the Arctic Council, the Permanent Participants represent the Indigenous governance structure through whi</w:t>
      </w:r>
      <w:r w:rsidRPr="00883AA2">
        <w:t>ch engagement with Indigenous Peoples takes place and are the first to advise and provide guidanc</w:t>
      </w:r>
      <w:r w:rsidR="00505094">
        <w:t xml:space="preserve">e on appropriate organizations </w:t>
      </w:r>
      <w:r w:rsidRPr="00883AA2">
        <w:t>and individuals to engage.</w:t>
      </w:r>
      <w:bookmarkStart w:id="69" w:name="_Ref334001803"/>
      <w:r w:rsidRPr="00D359C1">
        <w:rPr>
          <w:rStyle w:val="FootnoteReference"/>
        </w:rPr>
        <w:footnoteReference w:id="145"/>
      </w:r>
      <w:bookmarkEnd w:id="69"/>
      <w:r w:rsidRPr="00D359C1">
        <w:t xml:space="preserve"> </w:t>
      </w:r>
      <w:r w:rsidR="00D359C1" w:rsidRPr="00D359C1">
        <w:t xml:space="preserve">The </w:t>
      </w:r>
      <w:r w:rsidR="00D14EA8">
        <w:t>Arctic Council recommends that States</w:t>
      </w:r>
      <w:r w:rsidR="00D359C1" w:rsidRPr="00883AA2">
        <w:rPr>
          <w:lang w:val="en-US"/>
        </w:rPr>
        <w:t xml:space="preserve"> “consult and cooperate with the indigenous peoples concerned through their own representative institutions in order to understand and integrate their needs and concerns with any project affecting their lands or territories and other resources.”</w:t>
      </w:r>
      <w:r w:rsidR="00D359C1">
        <w:rPr>
          <w:rStyle w:val="FootnoteReference"/>
          <w:lang w:val="en-US"/>
        </w:rPr>
        <w:footnoteReference w:id="146"/>
      </w:r>
    </w:p>
    <w:p w14:paraId="053FE27E" w14:textId="3673E3B9" w:rsidR="00C375B2" w:rsidRDefault="00B50427" w:rsidP="00B12B13">
      <w:pPr>
        <w:widowControl w:val="0"/>
        <w:autoSpaceDE w:val="0"/>
        <w:autoSpaceDN w:val="0"/>
        <w:adjustRightInd w:val="0"/>
      </w:pPr>
      <w:r w:rsidRPr="00925B59">
        <w:t xml:space="preserve">For successful </w:t>
      </w:r>
      <w:r w:rsidR="00F9259D">
        <w:t>engagement</w:t>
      </w:r>
      <w:r w:rsidRPr="00925B59">
        <w:t>, it is necessary for each entity to designate a representative and to know who has authority to</w:t>
      </w:r>
      <w:r w:rsidR="004D1692">
        <w:t xml:space="preserve"> represent the other entities. </w:t>
      </w:r>
      <w:r w:rsidR="009D6EA9">
        <w:t>T</w:t>
      </w:r>
      <w:r w:rsidRPr="00925B59">
        <w:t>he designated representative should have decision-making authority.</w:t>
      </w:r>
      <w:r w:rsidR="008D1ADF" w:rsidRPr="00925B59">
        <w:t xml:space="preserve"> </w:t>
      </w:r>
      <w:r w:rsidR="00C375B2" w:rsidRPr="00925B59">
        <w:t xml:space="preserve">One of the most important factors of a successful </w:t>
      </w:r>
      <w:r w:rsidR="00C375B2">
        <w:t>engagement</w:t>
      </w:r>
      <w:r w:rsidR="00C375B2" w:rsidRPr="00925B59">
        <w:t xml:space="preserve"> process is the level of leadership of those who </w:t>
      </w:r>
      <w:r w:rsidR="00C375B2">
        <w:t>participate in the</w:t>
      </w:r>
      <w:r w:rsidR="00C375B2" w:rsidRPr="00925B59">
        <w:t xml:space="preserve"> process. For example, when the government representative is a high level person with authority to develop accommodations for the </w:t>
      </w:r>
      <w:r w:rsidR="00C375B2">
        <w:t>Indigenous</w:t>
      </w:r>
      <w:r w:rsidR="00C375B2" w:rsidRPr="00925B59">
        <w:t xml:space="preserve"> interests at stake and the </w:t>
      </w:r>
      <w:r w:rsidR="00C375B2">
        <w:t>Indigenous</w:t>
      </w:r>
      <w:r w:rsidR="00C375B2" w:rsidRPr="00925B59">
        <w:t xml:space="preserve"> representative is the leader of that </w:t>
      </w:r>
      <w:r w:rsidR="00C375B2">
        <w:t>Indigenous</w:t>
      </w:r>
      <w:r w:rsidR="00C375B2" w:rsidRPr="00925B59">
        <w:t xml:space="preserve"> group, </w:t>
      </w:r>
      <w:r w:rsidR="00C375B2">
        <w:t>engagement is</w:t>
      </w:r>
      <w:r w:rsidR="00C375B2" w:rsidRPr="00925B59">
        <w:t xml:space="preserve"> more likely to be </w:t>
      </w:r>
      <w:r w:rsidR="00C375B2">
        <w:t xml:space="preserve">viewed as </w:t>
      </w:r>
      <w:r w:rsidR="00C375B2" w:rsidRPr="00925B59">
        <w:t>successful.</w:t>
      </w:r>
      <w:r w:rsidR="00C375B2" w:rsidRPr="00925B59">
        <w:rPr>
          <w:rStyle w:val="FootnoteReference"/>
          <w:color w:val="070909"/>
        </w:rPr>
        <w:footnoteReference w:id="147"/>
      </w:r>
      <w:r w:rsidR="00C375B2" w:rsidRPr="00925B59">
        <w:rPr>
          <w:color w:val="070909"/>
        </w:rPr>
        <w:t xml:space="preserve"> </w:t>
      </w:r>
      <w:r w:rsidR="008D1ADF" w:rsidRPr="00925B59">
        <w:t>Thus, for governments</w:t>
      </w:r>
      <w:r w:rsidR="00415B4E" w:rsidRPr="00925B59">
        <w:t xml:space="preserve"> the representative should be an authorized </w:t>
      </w:r>
      <w:r w:rsidR="008D1ADF" w:rsidRPr="00925B59">
        <w:t>official.</w:t>
      </w:r>
      <w:r w:rsidR="008D1ADF" w:rsidRPr="00925B59">
        <w:rPr>
          <w:rStyle w:val="FootnoteReference"/>
        </w:rPr>
        <w:footnoteReference w:id="148"/>
      </w:r>
      <w:r w:rsidR="008D1ADF" w:rsidRPr="00925B59">
        <w:rPr>
          <w:lang w:val="en-US"/>
        </w:rPr>
        <w:t xml:space="preserve"> </w:t>
      </w:r>
      <w:r w:rsidR="008D1ADF" w:rsidRPr="00925B59">
        <w:t xml:space="preserve">For </w:t>
      </w:r>
      <w:r w:rsidR="000B26FB">
        <w:t>companies</w:t>
      </w:r>
      <w:r w:rsidR="008D1ADF" w:rsidRPr="00925B59">
        <w:t xml:space="preserve">, </w:t>
      </w:r>
      <w:r w:rsidR="008D1ADF" w:rsidRPr="00925B59">
        <w:rPr>
          <w:color w:val="070909"/>
        </w:rPr>
        <w:t xml:space="preserve">the representative should be from </w:t>
      </w:r>
      <w:r w:rsidR="008D1ADF" w:rsidRPr="00925B59">
        <w:t>the enterprise itself, not an externally hired consultant.</w:t>
      </w:r>
      <w:r w:rsidR="008D1ADF" w:rsidRPr="00925B59">
        <w:rPr>
          <w:rStyle w:val="FootnoteReference"/>
        </w:rPr>
        <w:footnoteReference w:id="149"/>
      </w:r>
      <w:r w:rsidR="008D1ADF" w:rsidRPr="00925B59">
        <w:t xml:space="preserve"> </w:t>
      </w:r>
      <w:r w:rsidR="00415B4E" w:rsidRPr="00925B59">
        <w:t>The sa</w:t>
      </w:r>
      <w:r w:rsidR="00505094">
        <w:t>me principle could be reasonably applied</w:t>
      </w:r>
      <w:r w:rsidR="00415B4E" w:rsidRPr="00925B59">
        <w:t xml:space="preserve"> to conservation organizations, researchers, and others who conduct activities in the Arctic. </w:t>
      </w:r>
    </w:p>
    <w:p w14:paraId="35B6E0C4" w14:textId="77777777" w:rsidR="00B74F4D" w:rsidRDefault="00B74F4D" w:rsidP="00B12B13">
      <w:pPr>
        <w:widowControl w:val="0"/>
        <w:autoSpaceDE w:val="0"/>
        <w:autoSpaceDN w:val="0"/>
        <w:adjustRightInd w:val="0"/>
      </w:pPr>
    </w:p>
    <w:p w14:paraId="6BE4E279" w14:textId="47D4470F" w:rsidR="00B50427" w:rsidRPr="00925B59" w:rsidRDefault="00B74F4D" w:rsidP="00B12B13">
      <w:pPr>
        <w:widowControl w:val="0"/>
        <w:autoSpaceDE w:val="0"/>
        <w:autoSpaceDN w:val="0"/>
        <w:adjustRightInd w:val="0"/>
      </w:pPr>
      <w:r>
        <w:t>For national governments, the</w:t>
      </w:r>
      <w:r w:rsidR="00B50427" w:rsidRPr="00925B59">
        <w:t xml:space="preserve"> legal requirements for consultation generally identify and define the </w:t>
      </w:r>
      <w:r w:rsidR="00C95A84">
        <w:t>Indigenous</w:t>
      </w:r>
      <w:r w:rsidR="00163EB7">
        <w:t xml:space="preserve"> entity governments must engage with</w:t>
      </w:r>
      <w:r w:rsidR="00B50427" w:rsidRPr="00925B59">
        <w:t xml:space="preserve"> </w:t>
      </w:r>
      <w:r>
        <w:t xml:space="preserve">by </w:t>
      </w:r>
      <w:r w:rsidR="00B50427" w:rsidRPr="00925B59">
        <w:t>law.</w:t>
      </w:r>
      <w:r w:rsidR="00B50427" w:rsidRPr="00925B59">
        <w:rPr>
          <w:rStyle w:val="FootnoteReference"/>
        </w:rPr>
        <w:footnoteReference w:id="150"/>
      </w:r>
      <w:r w:rsidR="00B7103B" w:rsidRPr="00925B59">
        <w:t xml:space="preserve"> Yet, t</w:t>
      </w:r>
      <w:r w:rsidR="00B50427" w:rsidRPr="00925B59">
        <w:t xml:space="preserve">hese definitions omit the </w:t>
      </w:r>
      <w:r w:rsidR="00B50427" w:rsidRPr="00925B59">
        <w:lastRenderedPageBreak/>
        <w:t>concept of self-identification specified in international law.</w:t>
      </w:r>
      <w:r w:rsidR="00B50427" w:rsidRPr="00925B59">
        <w:rPr>
          <w:rStyle w:val="FootnoteReference"/>
        </w:rPr>
        <w:footnoteReference w:id="151"/>
      </w:r>
      <w:r w:rsidR="00BB793D">
        <w:t xml:space="preserve"> Thus, although </w:t>
      </w:r>
      <w:r w:rsidR="00B50427" w:rsidRPr="00925B59">
        <w:t xml:space="preserve">national legal requirements may specify clearly with whom to engage, these requirements may not meet broader societal standards of </w:t>
      </w:r>
      <w:r w:rsidR="00C95A84">
        <w:t>Indigenous</w:t>
      </w:r>
      <w:r w:rsidR="00B50427" w:rsidRPr="00925B59">
        <w:t xml:space="preserve"> engagement. </w:t>
      </w:r>
      <w:r w:rsidR="00941E63" w:rsidRPr="00925B59">
        <w:t>Organizations</w:t>
      </w:r>
      <w:r w:rsidR="00B50427" w:rsidRPr="00925B59">
        <w:t xml:space="preserve"> may therefore conduct their own determination as to whether a group is an </w:t>
      </w:r>
      <w:r w:rsidR="00C95A84">
        <w:t>Indigenous</w:t>
      </w:r>
      <w:r w:rsidR="00FC63E1">
        <w:t xml:space="preserve"> Peoples</w:t>
      </w:r>
      <w:r w:rsidR="00B50427" w:rsidRPr="00925B59">
        <w:t>.</w:t>
      </w:r>
      <w:r w:rsidR="00B50427" w:rsidRPr="00925B59">
        <w:rPr>
          <w:rStyle w:val="FootnoteReference"/>
        </w:rPr>
        <w:footnoteReference w:id="152"/>
      </w:r>
      <w:r w:rsidR="00D62151" w:rsidRPr="00925B59">
        <w:t xml:space="preserve"> </w:t>
      </w:r>
      <w:r w:rsidR="00941E63" w:rsidRPr="00925B59">
        <w:t>Another alternative, adopted by IUCN, is to adopt the ILO definition, which includes self-identification.</w:t>
      </w:r>
      <w:r w:rsidR="00941E63" w:rsidRPr="00925B59">
        <w:rPr>
          <w:rStyle w:val="FootnoteReference"/>
        </w:rPr>
        <w:footnoteReference w:id="153"/>
      </w:r>
      <w:r w:rsidR="00941E63" w:rsidRPr="00925B59">
        <w:t xml:space="preserve"> </w:t>
      </w:r>
      <w:r w:rsidR="00856C8B" w:rsidRPr="00925B59">
        <w:t xml:space="preserve">International organizations, such as the UN, have created guidance for identifying </w:t>
      </w:r>
      <w:r w:rsidR="00C95A84">
        <w:t>Indigenous</w:t>
      </w:r>
      <w:r w:rsidR="00FC63E1">
        <w:t xml:space="preserve"> Peoples</w:t>
      </w:r>
      <w:r w:rsidR="00856C8B" w:rsidRPr="00925B59">
        <w:t>, as well.</w:t>
      </w:r>
      <w:bookmarkStart w:id="70" w:name="_Ref334002225"/>
      <w:r w:rsidR="00856C8B" w:rsidRPr="00925B59">
        <w:rPr>
          <w:rStyle w:val="FootnoteReference"/>
        </w:rPr>
        <w:footnoteReference w:id="154"/>
      </w:r>
      <w:bookmarkEnd w:id="70"/>
      <w:r w:rsidR="00856C8B" w:rsidRPr="00925B59">
        <w:t xml:space="preserve"> </w:t>
      </w:r>
      <w:r w:rsidR="00A727F6" w:rsidRPr="00925B59">
        <w:t xml:space="preserve">Using these methods </w:t>
      </w:r>
      <w:r w:rsidR="00856C8B" w:rsidRPr="00925B59">
        <w:t xml:space="preserve">and resources </w:t>
      </w:r>
      <w:r w:rsidR="00A727F6" w:rsidRPr="00925B59">
        <w:t>to identify with whom to engage</w:t>
      </w:r>
      <w:r w:rsidR="00415B4E" w:rsidRPr="00925B59">
        <w:t xml:space="preserve">, entities conducting Arctic </w:t>
      </w:r>
      <w:r w:rsidR="003E7F74">
        <w:t xml:space="preserve">marine </w:t>
      </w:r>
      <w:r w:rsidR="00415B4E" w:rsidRPr="00925B59">
        <w:t xml:space="preserve">activities </w:t>
      </w:r>
      <w:r w:rsidR="00861B6C" w:rsidRPr="00925B59">
        <w:t xml:space="preserve">can ensure that their engagement comports with international standards. </w:t>
      </w:r>
    </w:p>
    <w:p w14:paraId="0D80C5F9" w14:textId="77777777" w:rsidR="00581B21" w:rsidRPr="00925B59" w:rsidRDefault="00581B21" w:rsidP="00B12B13">
      <w:pPr>
        <w:widowControl w:val="0"/>
        <w:autoSpaceDE w:val="0"/>
        <w:autoSpaceDN w:val="0"/>
        <w:adjustRightInd w:val="0"/>
        <w:rPr>
          <w:lang w:val="en-US"/>
        </w:rPr>
      </w:pPr>
    </w:p>
    <w:p w14:paraId="46D13C16" w14:textId="3DE4B78B" w:rsidR="00B50427" w:rsidRPr="00925B59" w:rsidRDefault="00B50427" w:rsidP="00B12B13">
      <w:pPr>
        <w:widowControl w:val="0"/>
        <w:autoSpaceDE w:val="0"/>
        <w:autoSpaceDN w:val="0"/>
        <w:adjustRightInd w:val="0"/>
      </w:pPr>
      <w:r w:rsidRPr="00925B59">
        <w:t xml:space="preserve">Even with legal definitions specifying the appropriate entity to contact, government agencies </w:t>
      </w:r>
      <w:r w:rsidR="00FD65CA" w:rsidRPr="00925B59">
        <w:t xml:space="preserve">and other entities conducting activities in the Arctic </w:t>
      </w:r>
      <w:r w:rsidRPr="00925B59">
        <w:t xml:space="preserve">face challenges keeping track of whom the actual people are who </w:t>
      </w:r>
      <w:r w:rsidR="009D4FD1" w:rsidRPr="00925B59">
        <w:t xml:space="preserve">hold the relevant positions. </w:t>
      </w:r>
      <w:r w:rsidR="00C95A84">
        <w:t>Indigenous</w:t>
      </w:r>
      <w:r w:rsidR="00FC63E1">
        <w:t xml:space="preserve"> Peoples</w:t>
      </w:r>
      <w:r w:rsidR="009D4FD1" w:rsidRPr="00925B59">
        <w:t xml:space="preserve"> and communities can provide, </w:t>
      </w:r>
      <w:r w:rsidR="00F924D6">
        <w:t>such as</w:t>
      </w:r>
      <w:r w:rsidR="00521A4B">
        <w:t xml:space="preserve"> </w:t>
      </w:r>
      <w:r w:rsidR="009D4FD1" w:rsidRPr="00925B59">
        <w:t xml:space="preserve">through their engagement protocols, the names of </w:t>
      </w:r>
      <w:r w:rsidR="00C95A84">
        <w:t>Indigenous</w:t>
      </w:r>
      <w:r w:rsidR="009D4FD1" w:rsidRPr="00925B59">
        <w:t xml:space="preserve"> representatives who should be addressed in consultation </w:t>
      </w:r>
      <w:r w:rsidR="009D6EA9">
        <w:t xml:space="preserve">or engagement </w:t>
      </w:r>
      <w:r w:rsidR="009D4FD1" w:rsidRPr="00925B59">
        <w:t>requests.</w:t>
      </w:r>
      <w:r w:rsidR="009D4FD1" w:rsidRPr="00925B59">
        <w:rPr>
          <w:rStyle w:val="FootnoteReference"/>
        </w:rPr>
        <w:footnoteReference w:id="155"/>
      </w:r>
      <w:r w:rsidR="009D4FD1" w:rsidRPr="00925B59">
        <w:t xml:space="preserve"> </w:t>
      </w:r>
      <w:r w:rsidRPr="00925B59">
        <w:t xml:space="preserve">Maintaining strong community connections can help </w:t>
      </w:r>
      <w:r w:rsidR="00FD65CA" w:rsidRPr="00925B59">
        <w:t>an organization</w:t>
      </w:r>
      <w:r w:rsidRPr="00925B59">
        <w:t xml:space="preserve"> know the proper people to contact.</w:t>
      </w:r>
      <w:bookmarkStart w:id="71" w:name="_Ref334001164"/>
      <w:r w:rsidRPr="00925B59">
        <w:rPr>
          <w:rStyle w:val="FootnoteReference"/>
        </w:rPr>
        <w:footnoteReference w:id="156"/>
      </w:r>
      <w:bookmarkEnd w:id="71"/>
      <w:r w:rsidRPr="00925B59">
        <w:t xml:space="preserve"> </w:t>
      </w:r>
    </w:p>
    <w:p w14:paraId="4BC096D9" w14:textId="77777777" w:rsidR="008A61CD" w:rsidRPr="00925B59" w:rsidRDefault="008A61CD" w:rsidP="00B12B13">
      <w:pPr>
        <w:widowControl w:val="0"/>
        <w:autoSpaceDE w:val="0"/>
        <w:autoSpaceDN w:val="0"/>
        <w:adjustRightInd w:val="0"/>
      </w:pPr>
    </w:p>
    <w:p w14:paraId="4C246627" w14:textId="090190CE" w:rsidR="008A61CD" w:rsidRPr="00925B59" w:rsidRDefault="009D4FD1" w:rsidP="008A61CD">
      <w:r w:rsidRPr="00925B59">
        <w:t xml:space="preserve">One way that strong community connections can be maintained is through the designation of </w:t>
      </w:r>
      <w:r w:rsidR="00F86C14" w:rsidRPr="00925B59">
        <w:t xml:space="preserve">community liaisons. </w:t>
      </w:r>
      <w:r w:rsidR="008A61CD" w:rsidRPr="00925B59">
        <w:t>The personal relationships and knowledge about the community that these liaisons develop can hel</w:t>
      </w:r>
      <w:r w:rsidR="00DE292F" w:rsidRPr="00925B59">
        <w:t>p organizations</w:t>
      </w:r>
      <w:r w:rsidR="008A61CD" w:rsidRPr="00925B59">
        <w:t xml:space="preserve"> better understand </w:t>
      </w:r>
      <w:r w:rsidR="009945A8">
        <w:t xml:space="preserve">not only </w:t>
      </w:r>
      <w:r w:rsidR="008A61CD" w:rsidRPr="00925B59">
        <w:t>how and with whom to consult</w:t>
      </w:r>
      <w:r w:rsidR="00DE292F" w:rsidRPr="00925B59">
        <w:t xml:space="preserve">, </w:t>
      </w:r>
      <w:r w:rsidR="009945A8">
        <w:t>but also</w:t>
      </w:r>
      <w:r w:rsidR="00DE292F" w:rsidRPr="00925B59">
        <w:t xml:space="preserve"> the broader context o</w:t>
      </w:r>
      <w:r w:rsidR="00521A4B">
        <w:t>f engagement</w:t>
      </w:r>
      <w:r w:rsidR="00DE292F" w:rsidRPr="00925B59">
        <w:t>.</w:t>
      </w:r>
      <w:r w:rsidR="00DE292F" w:rsidRPr="00925B59">
        <w:rPr>
          <w:rStyle w:val="FootnoteReference"/>
        </w:rPr>
        <w:footnoteReference w:id="157"/>
      </w:r>
      <w:r w:rsidR="008A61CD" w:rsidRPr="00925B59">
        <w:t xml:space="preserve"> Government agencies are frequently required to establish liaisons.</w:t>
      </w:r>
      <w:r w:rsidR="008A61CD" w:rsidRPr="00925B59">
        <w:rPr>
          <w:rStyle w:val="FootnoteReference"/>
        </w:rPr>
        <w:footnoteReference w:id="158"/>
      </w:r>
      <w:r w:rsidR="008A61CD" w:rsidRPr="00925B59">
        <w:t xml:space="preserve"> For example, in the U.S., a “Community or Tribal Liaison Officer” maintains relationships with the community.</w:t>
      </w:r>
      <w:r w:rsidR="008A61CD" w:rsidRPr="00925B59">
        <w:rPr>
          <w:rStyle w:val="FootnoteReference"/>
        </w:rPr>
        <w:footnoteReference w:id="159"/>
      </w:r>
      <w:r w:rsidR="008A61CD" w:rsidRPr="00925B59">
        <w:rPr>
          <w:lang w:val="en-US"/>
        </w:rPr>
        <w:t xml:space="preserve"> </w:t>
      </w:r>
      <w:r w:rsidR="008A61CD" w:rsidRPr="00925B59">
        <w:t>Often these are federal officials based outside the community, although sometimes they are based within the community, which is likely to be more effective.</w:t>
      </w:r>
      <w:r w:rsidR="008A61CD" w:rsidRPr="00925B59">
        <w:rPr>
          <w:rStyle w:val="FootnoteReference"/>
        </w:rPr>
        <w:footnoteReference w:id="160"/>
      </w:r>
      <w:r w:rsidR="003E7F74">
        <w:t xml:space="preserve"> In </w:t>
      </w:r>
      <w:r w:rsidR="008A61CD" w:rsidRPr="00925B59">
        <w:t>Russi</w:t>
      </w:r>
      <w:r w:rsidR="003E7F74">
        <w:t>a</w:t>
      </w:r>
      <w:r w:rsidR="00D55696">
        <w:t>, local laws provide for governmental agencies</w:t>
      </w:r>
      <w:r w:rsidR="00C55323">
        <w:t>, councils,</w:t>
      </w:r>
      <w:r w:rsidR="00D55696">
        <w:t xml:space="preserve"> and ombudspersons to maintain relations with and protect the interests of </w:t>
      </w:r>
      <w:r w:rsidR="00C95A84">
        <w:t>Indigenous</w:t>
      </w:r>
      <w:r w:rsidR="00FC63E1">
        <w:t xml:space="preserve"> Peoples</w:t>
      </w:r>
      <w:r w:rsidR="008A61CD" w:rsidRPr="00925B59">
        <w:t>.</w:t>
      </w:r>
      <w:r w:rsidR="008A61CD" w:rsidRPr="00925B59">
        <w:rPr>
          <w:rStyle w:val="FootnoteReference"/>
        </w:rPr>
        <w:footnoteReference w:id="161"/>
      </w:r>
      <w:r w:rsidR="008A61CD" w:rsidRPr="00925B59">
        <w:t xml:space="preserve"> </w:t>
      </w:r>
    </w:p>
    <w:p w14:paraId="2B6FC28E" w14:textId="77777777" w:rsidR="008A61CD" w:rsidRPr="00925B59" w:rsidRDefault="008A61CD" w:rsidP="008A61CD"/>
    <w:p w14:paraId="4726329C" w14:textId="72D1BE2D" w:rsidR="008A61CD" w:rsidRPr="00524FD2" w:rsidRDefault="008A61CD" w:rsidP="00524FD2">
      <w:pPr>
        <w:rPr>
          <w:rFonts w:eastAsia="Times New Roman"/>
          <w:color w:val="000000"/>
          <w:lang w:val="en-US"/>
        </w:rPr>
      </w:pPr>
      <w:r w:rsidRPr="00925B59">
        <w:t xml:space="preserve">Governments, </w:t>
      </w:r>
      <w:r w:rsidR="000B26FB">
        <w:t>companies</w:t>
      </w:r>
      <w:r w:rsidRPr="00925B59">
        <w:t xml:space="preserve">, NGOs, and researchers can also hire </w:t>
      </w:r>
      <w:r w:rsidR="00C95A84">
        <w:t>Indigenous</w:t>
      </w:r>
      <w:r w:rsidRPr="00925B59">
        <w:t xml:space="preserve"> community members to act as liaisons between the </w:t>
      </w:r>
      <w:r w:rsidR="00C95A84">
        <w:t>Indigenous</w:t>
      </w:r>
      <w:r w:rsidR="00FC63E1">
        <w:t xml:space="preserve"> Peoples</w:t>
      </w:r>
      <w:r w:rsidRPr="00925B59">
        <w:t xml:space="preserve"> and the outside entity. Another alternative is to create community-led teams that include expertise on specific issues. For example, the </w:t>
      </w:r>
      <w:proofErr w:type="gramStart"/>
      <w:r w:rsidRPr="00925B59">
        <w:t>AACA(</w:t>
      </w:r>
      <w:proofErr w:type="gramEnd"/>
      <w:r w:rsidRPr="00925B59">
        <w:t xml:space="preserve">a) </w:t>
      </w:r>
      <w:r w:rsidR="00C5716D">
        <w:t xml:space="preserve">report </w:t>
      </w:r>
      <w:r w:rsidRPr="00925B59">
        <w:t>recommends the creation of a community led expert group, team, or network to address issues of climate vulnerability and adaptation.</w:t>
      </w:r>
      <w:bookmarkStart w:id="72" w:name="_Ref333606215"/>
      <w:r w:rsidRPr="00925B59">
        <w:rPr>
          <w:rStyle w:val="FootnoteReference"/>
        </w:rPr>
        <w:footnoteReference w:id="162"/>
      </w:r>
      <w:bookmarkEnd w:id="72"/>
      <w:r w:rsidRPr="00925B59">
        <w:t xml:space="preserve"> </w:t>
      </w:r>
      <w:r w:rsidR="00C95A84">
        <w:t>Indigenous</w:t>
      </w:r>
      <w:r w:rsidR="00FC63E1">
        <w:t xml:space="preserve"> Peoples</w:t>
      </w:r>
      <w:r w:rsidRPr="00925B59">
        <w:t xml:space="preserve"> and communities can also benefit from designating liaisons. For example, an </w:t>
      </w:r>
      <w:r w:rsidR="00C95A84">
        <w:t>Indigenous</w:t>
      </w:r>
      <w:r w:rsidRPr="00925B59">
        <w:t xml:space="preserve"> community’s liai</w:t>
      </w:r>
      <w:r w:rsidR="003F65F7">
        <w:t xml:space="preserve">son to cruise ship companies </w:t>
      </w:r>
      <w:r w:rsidRPr="00925B59">
        <w:t>could help the community identify ways to benefit from cruise ship visits.</w:t>
      </w:r>
      <w:r w:rsidRPr="00925B59">
        <w:rPr>
          <w:rStyle w:val="FootnoteReference"/>
        </w:rPr>
        <w:footnoteReference w:id="163"/>
      </w:r>
      <w:r w:rsidRPr="00925B59">
        <w:t xml:space="preserve"> </w:t>
      </w:r>
    </w:p>
    <w:p w14:paraId="63FAE2D8" w14:textId="77777777" w:rsidR="00B50427" w:rsidRPr="00925B59" w:rsidRDefault="00B50427" w:rsidP="00B12B13">
      <w:pPr>
        <w:widowControl w:val="0"/>
        <w:autoSpaceDE w:val="0"/>
        <w:autoSpaceDN w:val="0"/>
        <w:adjustRightInd w:val="0"/>
      </w:pPr>
    </w:p>
    <w:p w14:paraId="2ADD63EB" w14:textId="0F40FC1E" w:rsidR="00B50427" w:rsidRPr="00925B59" w:rsidRDefault="00B50427" w:rsidP="00B12B13">
      <w:pPr>
        <w:widowControl w:val="0"/>
        <w:autoSpaceDE w:val="0"/>
        <w:autoSpaceDN w:val="0"/>
        <w:adjustRightInd w:val="0"/>
      </w:pPr>
      <w:r w:rsidRPr="00925B59">
        <w:t>Beyond satisfying legal requirements</w:t>
      </w:r>
      <w:r w:rsidR="00F86C14" w:rsidRPr="00925B59">
        <w:t xml:space="preserve"> for consultation</w:t>
      </w:r>
      <w:r w:rsidRPr="00925B59">
        <w:t>, it can be much more challenging to identify the range o</w:t>
      </w:r>
      <w:r w:rsidR="00B74F4D">
        <w:t>f people who should be engaged</w:t>
      </w:r>
      <w:r w:rsidRPr="00925B59">
        <w:t xml:space="preserve"> with to achieve a social license to operate or meet broader societal standards for engagement.</w:t>
      </w:r>
      <w:r w:rsidRPr="00925B59">
        <w:rPr>
          <w:rStyle w:val="FootnoteReference"/>
        </w:rPr>
        <w:footnoteReference w:id="164"/>
      </w:r>
      <w:r w:rsidRPr="00925B59">
        <w:t xml:space="preserve"> In part this is because there are complex </w:t>
      </w:r>
      <w:r w:rsidR="00C95A84">
        <w:t>Indigenous</w:t>
      </w:r>
      <w:r w:rsidRPr="00925B59">
        <w:t xml:space="preserve"> social and governance structures in the Arctic, and they are continually evolving.</w:t>
      </w:r>
      <w:r w:rsidRPr="00925B59">
        <w:rPr>
          <w:rStyle w:val="FootnoteReference"/>
        </w:rPr>
        <w:footnoteReference w:id="165"/>
      </w:r>
      <w:r w:rsidRPr="00925B59">
        <w:t xml:space="preserve"> In any particular Arctic location there is likely to be a range of </w:t>
      </w:r>
      <w:r w:rsidR="00C95A84">
        <w:t>Indigenous</w:t>
      </w:r>
      <w:r w:rsidR="00D45113" w:rsidRPr="00925B59">
        <w:t xml:space="preserve"> corporations, </w:t>
      </w:r>
      <w:r w:rsidRPr="00925B59">
        <w:t>governments, governmental forums, and non-governmental organizations at the local, regional, national and international levels that play a role in the administration, decision-making and governance of that location.</w:t>
      </w:r>
      <w:r w:rsidRPr="00925B59">
        <w:rPr>
          <w:rStyle w:val="FootnoteReference"/>
        </w:rPr>
        <w:footnoteReference w:id="166"/>
      </w:r>
      <w:r w:rsidRPr="00925B59">
        <w:t xml:space="preserve"> Arctic </w:t>
      </w:r>
      <w:r w:rsidR="00C95A84">
        <w:t>Indigenous</w:t>
      </w:r>
      <w:r w:rsidR="00FC63E1">
        <w:t xml:space="preserve"> Peoples</w:t>
      </w:r>
      <w:r w:rsidRPr="00925B59">
        <w:t xml:space="preserve"> are associated with these various governance structures and organizations and therefore have multiple political allegiances. Some of these different affiliations have common objectives but sometimes they are at odds with one another.</w:t>
      </w:r>
      <w:r w:rsidRPr="00925B59">
        <w:rPr>
          <w:rStyle w:val="FootnoteReference"/>
        </w:rPr>
        <w:footnoteReference w:id="167"/>
      </w:r>
      <w:r w:rsidRPr="00925B59">
        <w:t xml:space="preserve"> Proposed activities can affect a variety of these </w:t>
      </w:r>
      <w:r w:rsidR="00C95A84">
        <w:t>Indigenous</w:t>
      </w:r>
      <w:r w:rsidRPr="00925B59">
        <w:t xml:space="preserve"> bodies.</w:t>
      </w:r>
      <w:r w:rsidR="00B2389D" w:rsidRPr="00925B59">
        <w:t xml:space="preserve"> </w:t>
      </w:r>
      <w:r w:rsidR="00B2389D" w:rsidRPr="00925B59">
        <w:rPr>
          <w:color w:val="1D1D1D"/>
          <w:lang w:val="en-US"/>
        </w:rPr>
        <w:t>Where there is a diversity of competing institutions, the identification of a single representative institution may not be possible, and it may be best to “take an inclusive approach, allowing for participation of the diversity of organizational expressions.”</w:t>
      </w:r>
      <w:r w:rsidR="00B2389D" w:rsidRPr="00925B59">
        <w:rPr>
          <w:rStyle w:val="FootnoteReference"/>
          <w:color w:val="1D1D1D"/>
          <w:lang w:val="en-US"/>
        </w:rPr>
        <w:footnoteReference w:id="168"/>
      </w:r>
    </w:p>
    <w:p w14:paraId="0A4EF3FC" w14:textId="77777777" w:rsidR="00B50427" w:rsidRPr="00925B59" w:rsidRDefault="00B50427" w:rsidP="00B12B13">
      <w:pPr>
        <w:widowControl w:val="0"/>
        <w:autoSpaceDE w:val="0"/>
        <w:autoSpaceDN w:val="0"/>
        <w:adjustRightInd w:val="0"/>
      </w:pPr>
    </w:p>
    <w:p w14:paraId="11F2B436" w14:textId="387D4158" w:rsidR="00B50427" w:rsidRPr="00925B59" w:rsidRDefault="00B50427" w:rsidP="00B12B13">
      <w:pPr>
        <w:widowControl w:val="0"/>
        <w:autoSpaceDE w:val="0"/>
        <w:autoSpaceDN w:val="0"/>
        <w:adjustRightInd w:val="0"/>
      </w:pPr>
      <w:r w:rsidRPr="00925B59">
        <w:t xml:space="preserve">Failing to engage with the appropriate leaders can create tension within </w:t>
      </w:r>
      <w:r w:rsidR="00C95A84">
        <w:t>Indigenous</w:t>
      </w:r>
      <w:r w:rsidR="0026500B">
        <w:t xml:space="preserve"> communities. The engagement</w:t>
      </w:r>
      <w:r w:rsidRPr="00925B59">
        <w:t xml:space="preserve"> process can therefore ru</w:t>
      </w:r>
      <w:r w:rsidR="005E73EC" w:rsidRPr="00925B59">
        <w:t>n more smoothly if a party</w:t>
      </w:r>
      <w:r w:rsidRPr="00925B59">
        <w:t xml:space="preserve"> has fully explored the dynamics governance and power structures within the community where it hopes to conduct activities. “Such an investigation should consider whether the government recognizes certain </w:t>
      </w:r>
      <w:r w:rsidR="00C95A84">
        <w:t>Indigenous</w:t>
      </w:r>
      <w:r w:rsidRPr="00925B59">
        <w:t xml:space="preserve"> organization</w:t>
      </w:r>
      <w:r w:rsidR="003E7F74">
        <w:t>s</w:t>
      </w:r>
      <w:r w:rsidRPr="00925B59">
        <w:t xml:space="preserve"> to be official representatives of the communities, and examine whether those communities indeed perceive them to be legitimate representatives.”</w:t>
      </w:r>
      <w:r w:rsidRPr="00925B59">
        <w:rPr>
          <w:rStyle w:val="FootnoteReference"/>
        </w:rPr>
        <w:footnoteReference w:id="169"/>
      </w:r>
      <w:r w:rsidR="009D6EA9">
        <w:t xml:space="preserve"> </w:t>
      </w:r>
    </w:p>
    <w:p w14:paraId="0360416E" w14:textId="77777777" w:rsidR="004B68F6" w:rsidRPr="00925B59" w:rsidRDefault="004B68F6" w:rsidP="00B12B13">
      <w:pPr>
        <w:widowControl w:val="0"/>
        <w:autoSpaceDE w:val="0"/>
        <w:autoSpaceDN w:val="0"/>
        <w:adjustRightInd w:val="0"/>
      </w:pPr>
    </w:p>
    <w:p w14:paraId="2C6C2299" w14:textId="4B14C784" w:rsidR="00B50427" w:rsidRPr="0045119D" w:rsidRDefault="00B50427" w:rsidP="00C32FE5">
      <w:pPr>
        <w:widowControl w:val="0"/>
        <w:autoSpaceDE w:val="0"/>
        <w:autoSpaceDN w:val="0"/>
        <w:adjustRightInd w:val="0"/>
        <w:spacing w:after="240"/>
      </w:pPr>
      <w:r w:rsidRPr="00925B59">
        <w:t xml:space="preserve">It is important that </w:t>
      </w:r>
      <w:r w:rsidR="00B93849">
        <w:t>engagement</w:t>
      </w:r>
      <w:r w:rsidRPr="00925B59">
        <w:t xml:space="preserve"> be conducted with women as well as men.</w:t>
      </w:r>
      <w:r w:rsidRPr="00925B59">
        <w:rPr>
          <w:rStyle w:val="FootnoteReference"/>
        </w:rPr>
        <w:footnoteReference w:id="170"/>
      </w:r>
      <w:r w:rsidRPr="00925B59">
        <w:t xml:space="preserve"> </w:t>
      </w:r>
      <w:r w:rsidR="004B68F6" w:rsidRPr="00925B59">
        <w:t xml:space="preserve">Proposed activities </w:t>
      </w:r>
      <w:r w:rsidR="00B93849">
        <w:t>will</w:t>
      </w:r>
      <w:r w:rsidR="004B68F6" w:rsidRPr="00925B59">
        <w:t xml:space="preserve"> aff</w:t>
      </w:r>
      <w:r w:rsidR="00F86C14" w:rsidRPr="00925B59">
        <w:t xml:space="preserve">ect </w:t>
      </w:r>
      <w:r w:rsidR="00B93849">
        <w:t xml:space="preserve">both </w:t>
      </w:r>
      <w:r w:rsidR="00F86C14" w:rsidRPr="00925B59">
        <w:t>men and women</w:t>
      </w:r>
      <w:r w:rsidR="00B93849">
        <w:t>, but are likely to affect each</w:t>
      </w:r>
      <w:r w:rsidR="00F86C14" w:rsidRPr="00925B59">
        <w:t xml:space="preserve"> differently. </w:t>
      </w:r>
      <w:r w:rsidR="00B77044">
        <w:t xml:space="preserve">For example, when </w:t>
      </w:r>
      <w:r w:rsidR="00B77044">
        <w:lastRenderedPageBreak/>
        <w:t xml:space="preserve">researching food security, researchers will often focus on the role of men in hunting and fail to adequately understand the equally important role that women play. Without a complete picture of how food security is achieved </w:t>
      </w:r>
      <w:r w:rsidR="00E35D71">
        <w:t xml:space="preserve">in a community, research addressing this issue is likely to be inaccurate. Similarly, without complete information, </w:t>
      </w:r>
      <w:r w:rsidR="00A44940">
        <w:t>it is challenging</w:t>
      </w:r>
      <w:r w:rsidR="00B77044">
        <w:t xml:space="preserve"> to properly assess how potential activities may affect food security.</w:t>
      </w:r>
      <w:r w:rsidR="0045119D">
        <w:t xml:space="preserve"> Thus, parties should </w:t>
      </w:r>
      <w:r w:rsidR="0045119D" w:rsidRPr="00925B59">
        <w:t>disaggreg</w:t>
      </w:r>
      <w:r w:rsidR="0045119D">
        <w:t>ate</w:t>
      </w:r>
      <w:r w:rsidR="0045119D" w:rsidRPr="00925B59">
        <w:t xml:space="preserve"> data about social impacts and</w:t>
      </w:r>
      <w:r w:rsidR="0045119D">
        <w:t xml:space="preserve"> ensure</w:t>
      </w:r>
      <w:r w:rsidR="0045119D" w:rsidRPr="00925B59">
        <w:t xml:space="preserve"> representative samples in interviews and surveys.</w:t>
      </w:r>
      <w:r w:rsidR="0045119D">
        <w:t xml:space="preserve"> </w:t>
      </w:r>
      <w:r w:rsidR="00382CD4">
        <w:t>All parties can also take p</w:t>
      </w:r>
      <w:r w:rsidR="000636FB" w:rsidRPr="00925B59">
        <w:t>roactive steps to engage women</w:t>
      </w:r>
      <w:r w:rsidR="00382CD4">
        <w:t>, including</w:t>
      </w:r>
      <w:r w:rsidR="000636FB" w:rsidRPr="00925B59">
        <w:t xml:space="preserve"> </w:t>
      </w:r>
      <w:r w:rsidR="00905769" w:rsidRPr="00925B59">
        <w:t>structuring engagement opportunities t</w:t>
      </w:r>
      <w:r w:rsidR="000636FB" w:rsidRPr="00925B59">
        <w:t>hat actively seek women’s input,</w:t>
      </w:r>
      <w:r w:rsidR="00905769" w:rsidRPr="00925B59">
        <w:t xml:space="preserve"> focus</w:t>
      </w:r>
      <w:r w:rsidR="000636FB" w:rsidRPr="00925B59">
        <w:t>ing</w:t>
      </w:r>
      <w:r w:rsidR="00905769" w:rsidRPr="00925B59">
        <w:t xml:space="preserve"> on issues that are important to women, and </w:t>
      </w:r>
      <w:r w:rsidR="000636FB" w:rsidRPr="00925B59">
        <w:t>scheduling meetings</w:t>
      </w:r>
      <w:r w:rsidR="00905769" w:rsidRPr="00925B59">
        <w:t xml:space="preserve"> in times and places that are convenient for women.</w:t>
      </w:r>
      <w:r w:rsidR="00905769" w:rsidRPr="00925B59">
        <w:rPr>
          <w:rStyle w:val="FootnoteReference"/>
        </w:rPr>
        <w:footnoteReference w:id="171"/>
      </w:r>
      <w:r w:rsidR="0045119D">
        <w:t xml:space="preserve"> Youth should similarly be included in the engagement process.</w:t>
      </w:r>
    </w:p>
    <w:p w14:paraId="23D5678C" w14:textId="351025C0" w:rsidR="00054E0F" w:rsidRPr="00AF7EF9" w:rsidRDefault="00380ED5" w:rsidP="00AF7EF9">
      <w:pPr>
        <w:pStyle w:val="Heading2"/>
        <w:numPr>
          <w:ilvl w:val="0"/>
          <w:numId w:val="20"/>
        </w:numPr>
        <w:rPr>
          <w:rFonts w:ascii="Times New Roman" w:hAnsi="Times New Roman" w:cs="Times New Roman"/>
          <w:color w:val="auto"/>
          <w:sz w:val="24"/>
          <w:szCs w:val="24"/>
          <w:u w:val="single"/>
        </w:rPr>
      </w:pPr>
      <w:bookmarkStart w:id="73" w:name="_Toc334125707"/>
      <w:r w:rsidRPr="00AF7EF9">
        <w:rPr>
          <w:rFonts w:ascii="Times New Roman" w:hAnsi="Times New Roman" w:cs="Times New Roman"/>
          <w:color w:val="auto"/>
          <w:sz w:val="24"/>
          <w:szCs w:val="24"/>
          <w:u w:val="single"/>
        </w:rPr>
        <w:t>Identification of the activities that require engagement and of the degree of engagement that is necessary</w:t>
      </w:r>
      <w:bookmarkEnd w:id="73"/>
    </w:p>
    <w:p w14:paraId="4CF229E5" w14:textId="6FCCC310" w:rsidR="00054E0F" w:rsidRPr="00925B59" w:rsidRDefault="00054E0F" w:rsidP="00B12B13">
      <w:pPr>
        <w:pStyle w:val="ListParagraph"/>
        <w:widowControl w:val="0"/>
        <w:autoSpaceDE w:val="0"/>
        <w:autoSpaceDN w:val="0"/>
        <w:adjustRightInd w:val="0"/>
      </w:pPr>
    </w:p>
    <w:p w14:paraId="6C85EBAC" w14:textId="77777777" w:rsidR="009E08F0" w:rsidRDefault="00D352BA" w:rsidP="00520625">
      <w:pPr>
        <w:widowControl w:val="0"/>
        <w:tabs>
          <w:tab w:val="left" w:pos="220"/>
          <w:tab w:val="left" w:pos="720"/>
        </w:tabs>
        <w:autoSpaceDE w:val="0"/>
        <w:autoSpaceDN w:val="0"/>
        <w:adjustRightInd w:val="0"/>
        <w:spacing w:after="240"/>
      </w:pPr>
      <w:r>
        <w:rPr>
          <w:noProof/>
          <w:lang w:val="en-US"/>
        </w:rPr>
        <mc:AlternateContent>
          <mc:Choice Requires="wps">
            <w:drawing>
              <wp:anchor distT="0" distB="0" distL="114300" distR="114300" simplePos="0" relativeHeight="251669504" behindDoc="0" locked="0" layoutInCell="1" allowOverlap="1" wp14:anchorId="2139A7BE" wp14:editId="3B2DA3E5">
                <wp:simplePos x="0" y="0"/>
                <wp:positionH relativeFrom="column">
                  <wp:posOffset>0</wp:posOffset>
                </wp:positionH>
                <wp:positionV relativeFrom="paragraph">
                  <wp:posOffset>556895</wp:posOffset>
                </wp:positionV>
                <wp:extent cx="2286000" cy="2171700"/>
                <wp:effectExtent l="0" t="0" r="25400" b="38100"/>
                <wp:wrapThrough wrapText="bothSides">
                  <wp:wrapPolygon edited="0">
                    <wp:start x="0" y="0"/>
                    <wp:lineTo x="0" y="21726"/>
                    <wp:lineTo x="21600" y="21726"/>
                    <wp:lineTo x="21600" y="0"/>
                    <wp:lineTo x="0" y="0"/>
                  </wp:wrapPolygon>
                </wp:wrapThrough>
                <wp:docPr id="25" name="Rectangle 25"/>
                <wp:cNvGraphicFramePr/>
                <a:graphic xmlns:a="http://schemas.openxmlformats.org/drawingml/2006/main">
                  <a:graphicData uri="http://schemas.microsoft.com/office/word/2010/wordprocessingShape">
                    <wps:wsp>
                      <wps:cNvSpPr/>
                      <wps:spPr>
                        <a:xfrm>
                          <a:off x="0" y="0"/>
                          <a:ext cx="2286000" cy="21717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71E463C4" w14:textId="77777777" w:rsidR="00D43BBB" w:rsidRDefault="00D43BBB" w:rsidP="003C4128">
                            <w:pPr>
                              <w:rPr>
                                <w:rFonts w:ascii="Calibri" w:hAnsi="Calibri"/>
                                <w:i/>
                                <w:color w:val="FFFFFF" w:themeColor="background1"/>
                                <w:sz w:val="20"/>
                                <w:szCs w:val="20"/>
                              </w:rPr>
                            </w:pPr>
                            <w:r w:rsidRPr="003C4128">
                              <w:rPr>
                                <w:rFonts w:ascii="Calibri" w:hAnsi="Calibri"/>
                                <w:i/>
                                <w:color w:val="FFFFFF" w:themeColor="background1"/>
                                <w:sz w:val="20"/>
                                <w:szCs w:val="20"/>
                              </w:rPr>
                              <w:t xml:space="preserve">Engagement approaches, including with whom and at what stage engagement is being conducted may be influenced by: </w:t>
                            </w:r>
                          </w:p>
                          <w:p w14:paraId="788183C6" w14:textId="77777777" w:rsidR="00D43BBB" w:rsidRDefault="00D43BBB" w:rsidP="00890BF3">
                            <w:pPr>
                              <w:pStyle w:val="ListParagraph"/>
                              <w:numPr>
                                <w:ilvl w:val="0"/>
                                <w:numId w:val="5"/>
                              </w:numPr>
                              <w:rPr>
                                <w:rFonts w:ascii="Calibri" w:hAnsi="Calibri"/>
                                <w:i/>
                                <w:color w:val="FFFFFF" w:themeColor="background1"/>
                                <w:sz w:val="20"/>
                                <w:szCs w:val="20"/>
                              </w:rPr>
                            </w:pPr>
                            <w:r w:rsidRPr="003C4128">
                              <w:rPr>
                                <w:rFonts w:ascii="Calibri" w:hAnsi="Calibri"/>
                                <w:i/>
                                <w:color w:val="FFFFFF" w:themeColor="background1"/>
                                <w:sz w:val="20"/>
                                <w:szCs w:val="20"/>
                              </w:rPr>
                              <w:t>Complexity of the action,</w:t>
                            </w:r>
                          </w:p>
                          <w:p w14:paraId="18D6BA97" w14:textId="77777777" w:rsidR="00D43BBB" w:rsidRDefault="00D43BBB" w:rsidP="00890BF3">
                            <w:pPr>
                              <w:pStyle w:val="ListParagraph"/>
                              <w:numPr>
                                <w:ilvl w:val="0"/>
                                <w:numId w:val="5"/>
                              </w:numPr>
                              <w:rPr>
                                <w:rFonts w:ascii="Calibri" w:hAnsi="Calibri"/>
                                <w:i/>
                                <w:color w:val="FFFFFF" w:themeColor="background1"/>
                                <w:sz w:val="20"/>
                                <w:szCs w:val="20"/>
                              </w:rPr>
                            </w:pPr>
                            <w:r w:rsidRPr="003C4128">
                              <w:rPr>
                                <w:rFonts w:ascii="Calibri" w:hAnsi="Calibri"/>
                                <w:i/>
                                <w:color w:val="FFFFFF" w:themeColor="background1"/>
                                <w:sz w:val="20"/>
                                <w:szCs w:val="20"/>
                              </w:rPr>
                              <w:t>Scope, scale and degree of the impact,</w:t>
                            </w:r>
                          </w:p>
                          <w:p w14:paraId="21158613" w14:textId="77777777" w:rsidR="00D43BBB" w:rsidRDefault="00D43BBB" w:rsidP="00890BF3">
                            <w:pPr>
                              <w:pStyle w:val="ListParagraph"/>
                              <w:numPr>
                                <w:ilvl w:val="0"/>
                                <w:numId w:val="5"/>
                              </w:numPr>
                              <w:rPr>
                                <w:rFonts w:ascii="Calibri" w:hAnsi="Calibri"/>
                                <w:i/>
                                <w:color w:val="FFFFFF" w:themeColor="background1"/>
                                <w:sz w:val="20"/>
                                <w:szCs w:val="20"/>
                              </w:rPr>
                            </w:pPr>
                            <w:r w:rsidRPr="003C4128">
                              <w:rPr>
                                <w:rFonts w:ascii="Calibri" w:hAnsi="Calibri"/>
                                <w:i/>
                                <w:color w:val="FFFFFF" w:themeColor="background1"/>
                                <w:sz w:val="20"/>
                                <w:szCs w:val="20"/>
                              </w:rPr>
                              <w:t>Nature of the rights being affected,</w:t>
                            </w:r>
                          </w:p>
                          <w:p w14:paraId="2829ACB8" w14:textId="77777777" w:rsidR="00D43BBB" w:rsidRDefault="00D43BBB" w:rsidP="00890BF3">
                            <w:pPr>
                              <w:pStyle w:val="ListParagraph"/>
                              <w:numPr>
                                <w:ilvl w:val="0"/>
                                <w:numId w:val="5"/>
                              </w:numPr>
                              <w:rPr>
                                <w:rFonts w:ascii="Calibri" w:hAnsi="Calibri"/>
                                <w:i/>
                                <w:color w:val="FFFFFF" w:themeColor="background1"/>
                                <w:sz w:val="20"/>
                                <w:szCs w:val="20"/>
                              </w:rPr>
                            </w:pPr>
                            <w:r w:rsidRPr="003C4128">
                              <w:rPr>
                                <w:rFonts w:ascii="Calibri" w:hAnsi="Calibri"/>
                                <w:i/>
                                <w:color w:val="FFFFFF" w:themeColor="background1"/>
                                <w:sz w:val="20"/>
                                <w:szCs w:val="20"/>
                              </w:rPr>
                              <w:t>Preference of those being engaged,</w:t>
                            </w:r>
                          </w:p>
                          <w:p w14:paraId="05069CA1" w14:textId="77777777" w:rsidR="00D43BBB" w:rsidRDefault="00D43BBB" w:rsidP="00890BF3">
                            <w:pPr>
                              <w:pStyle w:val="ListParagraph"/>
                              <w:numPr>
                                <w:ilvl w:val="0"/>
                                <w:numId w:val="5"/>
                              </w:numPr>
                              <w:rPr>
                                <w:rFonts w:ascii="Calibri" w:hAnsi="Calibri"/>
                                <w:i/>
                                <w:color w:val="FFFFFF" w:themeColor="background1"/>
                                <w:sz w:val="20"/>
                                <w:szCs w:val="20"/>
                              </w:rPr>
                            </w:pPr>
                            <w:r w:rsidRPr="003C4128">
                              <w:rPr>
                                <w:rFonts w:ascii="Calibri" w:hAnsi="Calibri"/>
                                <w:i/>
                                <w:color w:val="FFFFFF" w:themeColor="background1"/>
                                <w:sz w:val="20"/>
                                <w:szCs w:val="20"/>
                              </w:rPr>
                              <w:t>Capacity/resources of those being engaged,</w:t>
                            </w:r>
                          </w:p>
                          <w:p w14:paraId="574A8C06" w14:textId="69B380B6" w:rsidR="00D43BBB" w:rsidRPr="003C4128" w:rsidRDefault="00D43BBB" w:rsidP="00890BF3">
                            <w:pPr>
                              <w:pStyle w:val="ListParagraph"/>
                              <w:numPr>
                                <w:ilvl w:val="0"/>
                                <w:numId w:val="5"/>
                              </w:numPr>
                              <w:rPr>
                                <w:rFonts w:ascii="Calibri" w:hAnsi="Calibri"/>
                                <w:i/>
                                <w:color w:val="FFFFFF" w:themeColor="background1"/>
                                <w:sz w:val="20"/>
                                <w:szCs w:val="20"/>
                              </w:rPr>
                            </w:pPr>
                            <w:r w:rsidRPr="003C4128">
                              <w:rPr>
                                <w:rFonts w:ascii="Calibri" w:hAnsi="Calibri"/>
                                <w:i/>
                                <w:color w:val="FFFFFF" w:themeColor="background1"/>
                                <w:sz w:val="20"/>
                                <w:szCs w:val="20"/>
                              </w:rPr>
                              <w:t>Technological legal, and human capacities of communities.</w:t>
                            </w:r>
                          </w:p>
                          <w:p w14:paraId="61EA9B1E" w14:textId="77777777" w:rsidR="00D43BBB" w:rsidRPr="003C4128" w:rsidRDefault="00D43BBB" w:rsidP="00FE5D28">
                            <w:pPr>
                              <w:jc w:val="right"/>
                              <w:rPr>
                                <w:rFonts w:ascii="Calibri" w:hAnsi="Calibri"/>
                                <w:i/>
                                <w:color w:val="FFFFFF" w:themeColor="background1"/>
                                <w:sz w:val="20"/>
                                <w:szCs w:val="20"/>
                              </w:rPr>
                            </w:pPr>
                            <w:r w:rsidRPr="003C4128">
                              <w:rPr>
                                <w:rFonts w:ascii="Calibri" w:hAnsi="Calibri"/>
                                <w:i/>
                                <w:color w:val="FFFFFF" w:themeColor="background1"/>
                                <w:sz w:val="20"/>
                                <w:szCs w:val="20"/>
                              </w:rPr>
                              <w:t>Elizabeth Edmondson</w:t>
                            </w:r>
                          </w:p>
                          <w:p w14:paraId="004DBF0B" w14:textId="77777777" w:rsidR="00D43BBB" w:rsidRPr="001B3957" w:rsidRDefault="00D43BBB" w:rsidP="00390757">
                            <w:pPr>
                              <w:rPr>
                                <w:rFonts w:ascii="Calibri" w:hAnsi="Calibri"/>
                                <w:i/>
                                <w:color w:val="FF0000"/>
                                <w:sz w:val="20"/>
                                <w:szCs w:val="20"/>
                              </w:rPr>
                            </w:pPr>
                          </w:p>
                          <w:p w14:paraId="41A6C71D" w14:textId="77777777" w:rsidR="00D43BBB" w:rsidRDefault="00D43BBB" w:rsidP="003907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25" o:spid="_x0000_s1027" style="position:absolute;margin-left:0;margin-top:43.85pt;width:180pt;height:17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" fillcolor="#000101 [36]" strokecolor="#5b9bd5 [3204]" strokeweight=".5pt">
                <v:fill color2="#5898d4 [3172]" rotate="t" colors="0 #71a6db;.5 #559bdb;1 #438ac9" focus="100%" type="gradient">
                  <o:fill v:ext="view" type="gradientUnscaled"/>
                </v:fill>
                <v:textbox>
                  <w:txbxContent>
                    <w:p w14:paraId="71E463C4" w14:textId="77777777" w:rsidR="00D43BBB" w:rsidRDefault="00D43BBB" w:rsidP="003C4128">
                      <w:pPr>
                        <w:rPr>
                          <w:rFonts w:ascii="Calibri" w:hAnsi="Calibri"/>
                          <w:i/>
                          <w:color w:val="FFFFFF" w:themeColor="background1"/>
                          <w:sz w:val="20"/>
                          <w:szCs w:val="20"/>
                        </w:rPr>
                      </w:pPr>
                      <w:r w:rsidRPr="003C4128">
                        <w:rPr>
                          <w:rFonts w:ascii="Calibri" w:hAnsi="Calibri"/>
                          <w:i/>
                          <w:color w:val="FFFFFF" w:themeColor="background1"/>
                          <w:sz w:val="20"/>
                          <w:szCs w:val="20"/>
                        </w:rPr>
                        <w:t xml:space="preserve">Engagement approaches, including with whom and at what stage engagement is being conducted may be influenced by: </w:t>
                      </w:r>
                    </w:p>
                    <w:p w14:paraId="788183C6" w14:textId="77777777" w:rsidR="00D43BBB" w:rsidRDefault="00D43BBB" w:rsidP="00890BF3">
                      <w:pPr>
                        <w:pStyle w:val="ListParagraph"/>
                        <w:numPr>
                          <w:ilvl w:val="0"/>
                          <w:numId w:val="5"/>
                        </w:numPr>
                        <w:rPr>
                          <w:rFonts w:ascii="Calibri" w:hAnsi="Calibri"/>
                          <w:i/>
                          <w:color w:val="FFFFFF" w:themeColor="background1"/>
                          <w:sz w:val="20"/>
                          <w:szCs w:val="20"/>
                        </w:rPr>
                      </w:pPr>
                      <w:r w:rsidRPr="003C4128">
                        <w:rPr>
                          <w:rFonts w:ascii="Calibri" w:hAnsi="Calibri"/>
                          <w:i/>
                          <w:color w:val="FFFFFF" w:themeColor="background1"/>
                          <w:sz w:val="20"/>
                          <w:szCs w:val="20"/>
                        </w:rPr>
                        <w:t>Complexity of the action,</w:t>
                      </w:r>
                    </w:p>
                    <w:p w14:paraId="18D6BA97" w14:textId="77777777" w:rsidR="00D43BBB" w:rsidRDefault="00D43BBB" w:rsidP="00890BF3">
                      <w:pPr>
                        <w:pStyle w:val="ListParagraph"/>
                        <w:numPr>
                          <w:ilvl w:val="0"/>
                          <w:numId w:val="5"/>
                        </w:numPr>
                        <w:rPr>
                          <w:rFonts w:ascii="Calibri" w:hAnsi="Calibri"/>
                          <w:i/>
                          <w:color w:val="FFFFFF" w:themeColor="background1"/>
                          <w:sz w:val="20"/>
                          <w:szCs w:val="20"/>
                        </w:rPr>
                      </w:pPr>
                      <w:r w:rsidRPr="003C4128">
                        <w:rPr>
                          <w:rFonts w:ascii="Calibri" w:hAnsi="Calibri"/>
                          <w:i/>
                          <w:color w:val="FFFFFF" w:themeColor="background1"/>
                          <w:sz w:val="20"/>
                          <w:szCs w:val="20"/>
                        </w:rPr>
                        <w:t>Scope, scale and degree of the impact,</w:t>
                      </w:r>
                    </w:p>
                    <w:p w14:paraId="21158613" w14:textId="77777777" w:rsidR="00D43BBB" w:rsidRDefault="00D43BBB" w:rsidP="00890BF3">
                      <w:pPr>
                        <w:pStyle w:val="ListParagraph"/>
                        <w:numPr>
                          <w:ilvl w:val="0"/>
                          <w:numId w:val="5"/>
                        </w:numPr>
                        <w:rPr>
                          <w:rFonts w:ascii="Calibri" w:hAnsi="Calibri"/>
                          <w:i/>
                          <w:color w:val="FFFFFF" w:themeColor="background1"/>
                          <w:sz w:val="20"/>
                          <w:szCs w:val="20"/>
                        </w:rPr>
                      </w:pPr>
                      <w:r w:rsidRPr="003C4128">
                        <w:rPr>
                          <w:rFonts w:ascii="Calibri" w:hAnsi="Calibri"/>
                          <w:i/>
                          <w:color w:val="FFFFFF" w:themeColor="background1"/>
                          <w:sz w:val="20"/>
                          <w:szCs w:val="20"/>
                        </w:rPr>
                        <w:t>Nature of the rights being affected,</w:t>
                      </w:r>
                    </w:p>
                    <w:p w14:paraId="2829ACB8" w14:textId="77777777" w:rsidR="00D43BBB" w:rsidRDefault="00D43BBB" w:rsidP="00890BF3">
                      <w:pPr>
                        <w:pStyle w:val="ListParagraph"/>
                        <w:numPr>
                          <w:ilvl w:val="0"/>
                          <w:numId w:val="5"/>
                        </w:numPr>
                        <w:rPr>
                          <w:rFonts w:ascii="Calibri" w:hAnsi="Calibri"/>
                          <w:i/>
                          <w:color w:val="FFFFFF" w:themeColor="background1"/>
                          <w:sz w:val="20"/>
                          <w:szCs w:val="20"/>
                        </w:rPr>
                      </w:pPr>
                      <w:r w:rsidRPr="003C4128">
                        <w:rPr>
                          <w:rFonts w:ascii="Calibri" w:hAnsi="Calibri"/>
                          <w:i/>
                          <w:color w:val="FFFFFF" w:themeColor="background1"/>
                          <w:sz w:val="20"/>
                          <w:szCs w:val="20"/>
                        </w:rPr>
                        <w:t>Preference of those being engaged,</w:t>
                      </w:r>
                    </w:p>
                    <w:p w14:paraId="05069CA1" w14:textId="77777777" w:rsidR="00D43BBB" w:rsidRDefault="00D43BBB" w:rsidP="00890BF3">
                      <w:pPr>
                        <w:pStyle w:val="ListParagraph"/>
                        <w:numPr>
                          <w:ilvl w:val="0"/>
                          <w:numId w:val="5"/>
                        </w:numPr>
                        <w:rPr>
                          <w:rFonts w:ascii="Calibri" w:hAnsi="Calibri"/>
                          <w:i/>
                          <w:color w:val="FFFFFF" w:themeColor="background1"/>
                          <w:sz w:val="20"/>
                          <w:szCs w:val="20"/>
                        </w:rPr>
                      </w:pPr>
                      <w:r w:rsidRPr="003C4128">
                        <w:rPr>
                          <w:rFonts w:ascii="Calibri" w:hAnsi="Calibri"/>
                          <w:i/>
                          <w:color w:val="FFFFFF" w:themeColor="background1"/>
                          <w:sz w:val="20"/>
                          <w:szCs w:val="20"/>
                        </w:rPr>
                        <w:t>Capacity/resources of those being engaged,</w:t>
                      </w:r>
                    </w:p>
                    <w:p w14:paraId="574A8C06" w14:textId="69B380B6" w:rsidR="00D43BBB" w:rsidRPr="003C4128" w:rsidRDefault="00D43BBB" w:rsidP="00890BF3">
                      <w:pPr>
                        <w:pStyle w:val="ListParagraph"/>
                        <w:numPr>
                          <w:ilvl w:val="0"/>
                          <w:numId w:val="5"/>
                        </w:numPr>
                        <w:rPr>
                          <w:rFonts w:ascii="Calibri" w:hAnsi="Calibri"/>
                          <w:i/>
                          <w:color w:val="FFFFFF" w:themeColor="background1"/>
                          <w:sz w:val="20"/>
                          <w:szCs w:val="20"/>
                        </w:rPr>
                      </w:pPr>
                      <w:r w:rsidRPr="003C4128">
                        <w:rPr>
                          <w:rFonts w:ascii="Calibri" w:hAnsi="Calibri"/>
                          <w:i/>
                          <w:color w:val="FFFFFF" w:themeColor="background1"/>
                          <w:sz w:val="20"/>
                          <w:szCs w:val="20"/>
                        </w:rPr>
                        <w:t>Technological legal, and human capacities of communities.</w:t>
                      </w:r>
                    </w:p>
                    <w:p w14:paraId="61EA9B1E" w14:textId="77777777" w:rsidR="00D43BBB" w:rsidRPr="003C4128" w:rsidRDefault="00D43BBB" w:rsidP="00FE5D28">
                      <w:pPr>
                        <w:jc w:val="right"/>
                        <w:rPr>
                          <w:rFonts w:ascii="Calibri" w:hAnsi="Calibri"/>
                          <w:i/>
                          <w:color w:val="FFFFFF" w:themeColor="background1"/>
                          <w:sz w:val="20"/>
                          <w:szCs w:val="20"/>
                        </w:rPr>
                      </w:pPr>
                      <w:r w:rsidRPr="003C4128">
                        <w:rPr>
                          <w:rFonts w:ascii="Calibri" w:hAnsi="Calibri"/>
                          <w:i/>
                          <w:color w:val="FFFFFF" w:themeColor="background1"/>
                          <w:sz w:val="20"/>
                          <w:szCs w:val="20"/>
                        </w:rPr>
                        <w:t>Elizabeth Edmondson</w:t>
                      </w:r>
                    </w:p>
                    <w:p w14:paraId="004DBF0B" w14:textId="77777777" w:rsidR="00D43BBB" w:rsidRPr="001B3957" w:rsidRDefault="00D43BBB" w:rsidP="00390757">
                      <w:pPr>
                        <w:rPr>
                          <w:rFonts w:ascii="Calibri" w:hAnsi="Calibri"/>
                          <w:i/>
                          <w:color w:val="FF0000"/>
                          <w:sz w:val="20"/>
                          <w:szCs w:val="20"/>
                        </w:rPr>
                      </w:pPr>
                    </w:p>
                    <w:p w14:paraId="41A6C71D" w14:textId="77777777" w:rsidR="00D43BBB" w:rsidRDefault="00D43BBB" w:rsidP="00390757">
                      <w:pPr>
                        <w:jc w:val="center"/>
                      </w:pPr>
                    </w:p>
                  </w:txbxContent>
                </v:textbox>
                <w10:wrap type="through"/>
              </v:rect>
            </w:pict>
          </mc:Fallback>
        </mc:AlternateContent>
      </w:r>
      <w:r w:rsidR="00FA4BBB" w:rsidRPr="00925B59">
        <w:t xml:space="preserve">Parties must determine not only whether engagement is necessary but also what depth of engagement should occur. Both questions are </w:t>
      </w:r>
      <w:r w:rsidR="009E08F0">
        <w:t xml:space="preserve">in part </w:t>
      </w:r>
      <w:r w:rsidR="00FA4BBB" w:rsidRPr="00925B59">
        <w:t xml:space="preserve">related to the potential impacts and benefits that an activity may have on </w:t>
      </w:r>
      <w:r w:rsidR="00C95A84">
        <w:t>Indigenous</w:t>
      </w:r>
      <w:r w:rsidR="00FC63E1">
        <w:t xml:space="preserve"> Peoples</w:t>
      </w:r>
      <w:r w:rsidR="00FA4BBB" w:rsidRPr="00925B59">
        <w:t xml:space="preserve">. </w:t>
      </w:r>
    </w:p>
    <w:p w14:paraId="2176ABFF" w14:textId="3DCCFCBE" w:rsidR="009E08F0" w:rsidRDefault="00422295" w:rsidP="00520625">
      <w:pPr>
        <w:widowControl w:val="0"/>
        <w:tabs>
          <w:tab w:val="left" w:pos="220"/>
          <w:tab w:val="left" w:pos="720"/>
        </w:tabs>
        <w:autoSpaceDE w:val="0"/>
        <w:autoSpaceDN w:val="0"/>
        <w:adjustRightInd w:val="0"/>
        <w:spacing w:after="240"/>
      </w:pPr>
      <w:r>
        <w:t>Within</w:t>
      </w:r>
      <w:r w:rsidR="009E08F0">
        <w:t xml:space="preserve"> the Arctic Co</w:t>
      </w:r>
      <w:r w:rsidR="002312CB">
        <w:t>uncil</w:t>
      </w:r>
      <w:r>
        <w:t>, most activities affect Indigenous Peoples</w:t>
      </w:r>
      <w:r w:rsidR="002312CB">
        <w:t xml:space="preserve"> and</w:t>
      </w:r>
      <w:r w:rsidR="009E08F0">
        <w:t xml:space="preserve"> Permanent Participants determine whether and to what degree engagement is necessary. </w:t>
      </w:r>
      <w:r w:rsidR="009E08F0" w:rsidRPr="00C62D0E">
        <w:t xml:space="preserve">As the Arctic Environmental Protection Strategy notes, </w:t>
      </w:r>
      <w:r w:rsidR="009E08F0">
        <w:t>Indigenous Peoples</w:t>
      </w:r>
      <w:r w:rsidR="009E08F0" w:rsidRPr="00C62D0E">
        <w:t xml:space="preserve"> themselves are to define the traditional and cultural needs, values and practices that should be protected.</w:t>
      </w:r>
      <w:bookmarkStart w:id="74" w:name="_Ref334007315"/>
      <w:r w:rsidR="009E08F0" w:rsidRPr="00925B59">
        <w:rPr>
          <w:rStyle w:val="FootnoteReference"/>
        </w:rPr>
        <w:footnoteReference w:id="172"/>
      </w:r>
      <w:bookmarkEnd w:id="74"/>
      <w:r w:rsidR="009E08F0">
        <w:t xml:space="preserve"> </w:t>
      </w:r>
    </w:p>
    <w:p w14:paraId="4EA23CB0" w14:textId="5E4A4D5A" w:rsidR="003C4128" w:rsidRPr="00520625" w:rsidRDefault="00FA4BBB" w:rsidP="00520625">
      <w:pPr>
        <w:widowControl w:val="0"/>
        <w:tabs>
          <w:tab w:val="left" w:pos="220"/>
          <w:tab w:val="left" w:pos="720"/>
        </w:tabs>
        <w:autoSpaceDE w:val="0"/>
        <w:autoSpaceDN w:val="0"/>
        <w:adjustRightInd w:val="0"/>
        <w:spacing w:after="240"/>
        <w:rPr>
          <w:rFonts w:ascii="Times" w:hAnsi="Times" w:cs="Times"/>
          <w:lang w:val="en-US"/>
        </w:rPr>
      </w:pPr>
      <w:r w:rsidRPr="00925B59">
        <w:t xml:space="preserve">Engagement is typically recommended if the activity could affect </w:t>
      </w:r>
      <w:r w:rsidR="00C95A84">
        <w:t>Indigenous</w:t>
      </w:r>
      <w:r w:rsidR="00FC63E1">
        <w:t xml:space="preserve"> Peoples</w:t>
      </w:r>
      <w:r w:rsidR="00F70E1A" w:rsidRPr="00925B59">
        <w:t xml:space="preserve"> or rights. For example, t</w:t>
      </w:r>
      <w:r w:rsidRPr="00925B59">
        <w:t xml:space="preserve">he ILO specifically requires </w:t>
      </w:r>
      <w:r w:rsidR="003510D9">
        <w:t>engagement</w:t>
      </w:r>
      <w:r w:rsidRPr="00925B59">
        <w:t xml:space="preserve"> when governments consider </w:t>
      </w:r>
      <w:r w:rsidRPr="00925B59">
        <w:rPr>
          <w:color w:val="262626"/>
          <w:lang w:val="en-US"/>
        </w:rPr>
        <w:t xml:space="preserve">legislative </w:t>
      </w:r>
      <w:r w:rsidR="00782E76" w:rsidRPr="00925B59">
        <w:rPr>
          <w:color w:val="262626"/>
          <w:lang w:val="en-US"/>
        </w:rPr>
        <w:t>or administrative measures that</w:t>
      </w:r>
      <w:r w:rsidRPr="00925B59">
        <w:rPr>
          <w:color w:val="262626"/>
          <w:lang w:val="en-US"/>
        </w:rPr>
        <w:t xml:space="preserve"> may affect </w:t>
      </w:r>
      <w:r w:rsidR="00C95A84">
        <w:rPr>
          <w:color w:val="262626"/>
          <w:lang w:val="en-US"/>
        </w:rPr>
        <w:t>Indigenous</w:t>
      </w:r>
      <w:r w:rsidR="00FC63E1">
        <w:rPr>
          <w:color w:val="262626"/>
          <w:lang w:val="en-US"/>
        </w:rPr>
        <w:t xml:space="preserve"> Peoples</w:t>
      </w:r>
      <w:r w:rsidRPr="00925B59">
        <w:rPr>
          <w:color w:val="262626"/>
          <w:lang w:val="en-US"/>
        </w:rPr>
        <w:t xml:space="preserve"> directly</w:t>
      </w:r>
      <w:r w:rsidRPr="00925B59">
        <w:rPr>
          <w:lang w:val="en-US"/>
        </w:rPr>
        <w:t xml:space="preserve">, </w:t>
      </w:r>
      <w:r w:rsidRPr="00925B59">
        <w:rPr>
          <w:color w:val="262626"/>
          <w:lang w:val="en-US"/>
        </w:rPr>
        <w:t>before undertaking or permitting any programs for the exploration or exploitation of resources pertaining to their lands</w:t>
      </w:r>
      <w:r w:rsidR="008A3684" w:rsidRPr="00925B59">
        <w:rPr>
          <w:color w:val="262626"/>
          <w:lang w:val="en-US"/>
        </w:rPr>
        <w:t xml:space="preserve">, </w:t>
      </w:r>
      <w:r w:rsidR="00C13C59">
        <w:rPr>
          <w:color w:val="262626"/>
          <w:lang w:val="en-US"/>
        </w:rPr>
        <w:t xml:space="preserve">in advance of </w:t>
      </w:r>
      <w:r w:rsidR="008A3684" w:rsidRPr="00925B59">
        <w:rPr>
          <w:color w:val="262626"/>
          <w:lang w:val="en-US"/>
        </w:rPr>
        <w:t xml:space="preserve">the </w:t>
      </w:r>
      <w:r w:rsidR="008A3684" w:rsidRPr="003C352B">
        <w:rPr>
          <w:color w:val="262626"/>
          <w:lang w:val="en-US"/>
        </w:rPr>
        <w:t xml:space="preserve">transfer of </w:t>
      </w:r>
      <w:r w:rsidR="00C95A84" w:rsidRPr="003C352B">
        <w:rPr>
          <w:color w:val="262626"/>
          <w:lang w:val="en-US"/>
        </w:rPr>
        <w:t>Indigenous</w:t>
      </w:r>
      <w:r w:rsidR="008A3684" w:rsidRPr="003C352B">
        <w:rPr>
          <w:color w:val="262626"/>
          <w:lang w:val="en-US"/>
        </w:rPr>
        <w:t xml:space="preserve"> lands, </w:t>
      </w:r>
      <w:r w:rsidR="00F4608F" w:rsidRPr="003C352B">
        <w:rPr>
          <w:color w:val="262626"/>
          <w:lang w:val="en-US"/>
        </w:rPr>
        <w:t xml:space="preserve">and </w:t>
      </w:r>
      <w:r w:rsidR="008A3684" w:rsidRPr="003C352B">
        <w:rPr>
          <w:color w:val="262626"/>
          <w:lang w:val="en-US"/>
        </w:rPr>
        <w:t xml:space="preserve">in the organization and operation of training </w:t>
      </w:r>
      <w:r w:rsidR="00782E76" w:rsidRPr="003C352B">
        <w:rPr>
          <w:color w:val="262626"/>
          <w:lang w:val="en-US"/>
        </w:rPr>
        <w:t xml:space="preserve">programs for </w:t>
      </w:r>
      <w:r w:rsidR="00C95A84" w:rsidRPr="003C352B">
        <w:rPr>
          <w:color w:val="262626"/>
          <w:lang w:val="en-US"/>
        </w:rPr>
        <w:t>Indigenous</w:t>
      </w:r>
      <w:r w:rsidR="00FC63E1" w:rsidRPr="003C352B">
        <w:rPr>
          <w:color w:val="262626"/>
          <w:lang w:val="en-US"/>
        </w:rPr>
        <w:t xml:space="preserve"> Peoples</w:t>
      </w:r>
      <w:r w:rsidR="00782E76" w:rsidRPr="003C352B">
        <w:rPr>
          <w:color w:val="262626"/>
          <w:lang w:val="en-US"/>
        </w:rPr>
        <w:t>.</w:t>
      </w:r>
      <w:r w:rsidRPr="003C352B">
        <w:rPr>
          <w:rStyle w:val="FootnoteReference"/>
          <w:color w:val="262626"/>
          <w:lang w:val="en-US"/>
        </w:rPr>
        <w:footnoteReference w:id="173"/>
      </w:r>
      <w:r w:rsidR="00F70E1A" w:rsidRPr="003C352B">
        <w:rPr>
          <w:color w:val="262626"/>
          <w:lang w:val="en-US"/>
        </w:rPr>
        <w:t xml:space="preserve"> </w:t>
      </w:r>
      <w:r w:rsidR="003C352B" w:rsidRPr="003C352B">
        <w:rPr>
          <w:color w:val="262626"/>
          <w:lang w:val="en-US"/>
        </w:rPr>
        <w:t xml:space="preserve">Under U.S. policy, </w:t>
      </w:r>
      <w:r w:rsidR="003510D9">
        <w:rPr>
          <w:color w:val="262626"/>
          <w:lang w:val="en-US"/>
        </w:rPr>
        <w:t xml:space="preserve">formal </w:t>
      </w:r>
      <w:r w:rsidR="003C352B" w:rsidRPr="003C352B">
        <w:rPr>
          <w:color w:val="262626"/>
          <w:lang w:val="en-US"/>
        </w:rPr>
        <w:t xml:space="preserve">consultation is required </w:t>
      </w:r>
      <w:r w:rsidR="003C352B" w:rsidRPr="002E387E">
        <w:rPr>
          <w:color w:val="262626"/>
          <w:lang w:val="en-US"/>
        </w:rPr>
        <w:t xml:space="preserve">when </w:t>
      </w:r>
      <w:r w:rsidR="003C352B" w:rsidRPr="002E387E">
        <w:rPr>
          <w:lang w:val="en-US"/>
        </w:rPr>
        <w:t>“regulations, legislative comments or proposed legislation, and other policy statements or actions” have “substantial direct effects” on Indigenous Peoples.</w:t>
      </w:r>
      <w:r w:rsidR="003C352B" w:rsidRPr="002E387E">
        <w:rPr>
          <w:rStyle w:val="FootnoteReference"/>
          <w:lang w:val="en-US"/>
        </w:rPr>
        <w:footnoteReference w:id="174"/>
      </w:r>
      <w:r w:rsidR="003C352B" w:rsidRPr="002E387E">
        <w:rPr>
          <w:lang w:val="en-US"/>
        </w:rPr>
        <w:t xml:space="preserve"> </w:t>
      </w:r>
      <w:r w:rsidR="002E387E" w:rsidRPr="002E387E">
        <w:rPr>
          <w:lang w:val="en-US"/>
        </w:rPr>
        <w:t>In Norway, consultation is required for any activity that may directly affect Indigenous Peoples.</w:t>
      </w:r>
      <w:r w:rsidR="002E387E" w:rsidRPr="002E387E">
        <w:rPr>
          <w:rStyle w:val="FootnoteReference"/>
          <w:lang w:val="en-US"/>
        </w:rPr>
        <w:footnoteReference w:id="175"/>
      </w:r>
      <w:r w:rsidR="002E387E">
        <w:rPr>
          <w:sz w:val="32"/>
          <w:szCs w:val="32"/>
          <w:lang w:val="en-US"/>
        </w:rPr>
        <w:t xml:space="preserve"> </w:t>
      </w:r>
    </w:p>
    <w:p w14:paraId="209FD3E6" w14:textId="6F365A9C" w:rsidR="00FA4BBB" w:rsidRPr="00925B59" w:rsidRDefault="00345836" w:rsidP="00EE4BCD">
      <w:pPr>
        <w:widowControl w:val="0"/>
        <w:tabs>
          <w:tab w:val="left" w:pos="220"/>
          <w:tab w:val="left" w:pos="720"/>
        </w:tabs>
        <w:autoSpaceDE w:val="0"/>
        <w:autoSpaceDN w:val="0"/>
        <w:adjustRightInd w:val="0"/>
        <w:spacing w:after="320"/>
        <w:rPr>
          <w:color w:val="010302"/>
          <w:lang w:val="en-US"/>
        </w:rPr>
      </w:pPr>
      <w:r>
        <w:rPr>
          <w:color w:val="262626"/>
          <w:lang w:val="en-US"/>
        </w:rPr>
        <w:t xml:space="preserve">Non-governmental organizations have similar definitions. For </w:t>
      </w:r>
      <w:r w:rsidR="00F70E1A" w:rsidRPr="00925B59">
        <w:rPr>
          <w:color w:val="262626"/>
          <w:lang w:val="en-US"/>
        </w:rPr>
        <w:t xml:space="preserve">example, IUCN requires </w:t>
      </w:r>
      <w:r w:rsidR="003510D9">
        <w:rPr>
          <w:color w:val="262626"/>
          <w:lang w:val="en-US"/>
        </w:rPr>
        <w:t xml:space="preserve">engagement </w:t>
      </w:r>
      <w:r w:rsidR="00F70E1A" w:rsidRPr="00925B59">
        <w:rPr>
          <w:color w:val="262626"/>
          <w:lang w:val="en-US"/>
        </w:rPr>
        <w:t xml:space="preserve">whenever </w:t>
      </w:r>
      <w:r w:rsidR="00C95A84">
        <w:rPr>
          <w:lang w:val="en-US"/>
        </w:rPr>
        <w:t>Indigenous</w:t>
      </w:r>
      <w:r w:rsidR="00FC63E1">
        <w:rPr>
          <w:lang w:val="en-US"/>
        </w:rPr>
        <w:t xml:space="preserve"> Peoples</w:t>
      </w:r>
      <w:r w:rsidR="00F70E1A" w:rsidRPr="00925B59">
        <w:rPr>
          <w:lang w:val="en-US"/>
        </w:rPr>
        <w:t xml:space="preserve"> are present in the organization’s proposed project </w:t>
      </w:r>
      <w:r w:rsidR="00F70E1A" w:rsidRPr="00925B59">
        <w:rPr>
          <w:lang w:val="en-US"/>
        </w:rPr>
        <w:lastRenderedPageBreak/>
        <w:t xml:space="preserve">area, </w:t>
      </w:r>
      <w:r w:rsidR="00C95A84">
        <w:rPr>
          <w:lang w:val="en-US"/>
        </w:rPr>
        <w:t>Indigenous</w:t>
      </w:r>
      <w:r w:rsidR="00FC63E1">
        <w:rPr>
          <w:lang w:val="en-US"/>
        </w:rPr>
        <w:t xml:space="preserve"> Peoples</w:t>
      </w:r>
      <w:r w:rsidR="00F70E1A" w:rsidRPr="00925B59">
        <w:rPr>
          <w:lang w:val="en-US"/>
        </w:rPr>
        <w:t xml:space="preserve"> have a </w:t>
      </w:r>
      <w:r w:rsidR="00A83178">
        <w:rPr>
          <w:lang w:val="en-US"/>
        </w:rPr>
        <w:t>connection</w:t>
      </w:r>
      <w:r w:rsidR="00F70E1A" w:rsidRPr="00925B59">
        <w:rPr>
          <w:lang w:val="en-US"/>
        </w:rPr>
        <w:t xml:space="preserve"> to the area, or </w:t>
      </w:r>
      <w:r w:rsidR="00C95A84">
        <w:rPr>
          <w:lang w:val="en-US"/>
        </w:rPr>
        <w:t>Indigenous</w:t>
      </w:r>
      <w:r w:rsidR="00FC63E1">
        <w:rPr>
          <w:lang w:val="en-US"/>
        </w:rPr>
        <w:t xml:space="preserve"> Peoples</w:t>
      </w:r>
      <w:r w:rsidR="00F70E1A" w:rsidRPr="00925B59">
        <w:rPr>
          <w:lang w:val="en-US"/>
        </w:rPr>
        <w:t xml:space="preserve"> could be affected negatively by the</w:t>
      </w:r>
      <w:r w:rsidR="003411FA">
        <w:rPr>
          <w:lang w:val="en-US"/>
        </w:rPr>
        <w:t xml:space="preserve"> research or conservation</w:t>
      </w:r>
      <w:r w:rsidR="00F70E1A" w:rsidRPr="00925B59">
        <w:rPr>
          <w:lang w:val="en-US"/>
        </w:rPr>
        <w:t xml:space="preserve"> project.</w:t>
      </w:r>
      <w:r w:rsidR="00F70E1A" w:rsidRPr="00925B59">
        <w:rPr>
          <w:rStyle w:val="FootnoteReference"/>
          <w:lang w:val="en-US"/>
        </w:rPr>
        <w:footnoteReference w:id="176"/>
      </w:r>
      <w:r w:rsidR="00EE4BCD" w:rsidRPr="00925B59">
        <w:rPr>
          <w:lang w:val="en-US"/>
        </w:rPr>
        <w:t xml:space="preserve"> </w:t>
      </w:r>
      <w:r w:rsidR="001C5B6C" w:rsidRPr="00925B59">
        <w:rPr>
          <w:lang w:val="en-US"/>
        </w:rPr>
        <w:t>Resea</w:t>
      </w:r>
      <w:r w:rsidR="00BD6640">
        <w:rPr>
          <w:lang w:val="en-US"/>
        </w:rPr>
        <w:t>rch related to social science, especially if it involves the study of human subjects</w:t>
      </w:r>
      <w:r w:rsidR="001C5B6C" w:rsidRPr="00925B59">
        <w:rPr>
          <w:lang w:val="en-US"/>
        </w:rPr>
        <w:t xml:space="preserve">, </w:t>
      </w:r>
      <w:r w:rsidR="00BD6640">
        <w:rPr>
          <w:lang w:val="en-US"/>
        </w:rPr>
        <w:t>“</w:t>
      </w:r>
      <w:r w:rsidR="001C5B6C" w:rsidRPr="00925B59">
        <w:rPr>
          <w:lang w:val="en-US"/>
        </w:rPr>
        <w:t>requires special consideration, as do studies of resources of economic, cultural, and social value to Native people.”</w:t>
      </w:r>
      <w:r w:rsidR="001C5B6C" w:rsidRPr="00925B59">
        <w:rPr>
          <w:rStyle w:val="FootnoteReference"/>
          <w:lang w:val="en-US"/>
        </w:rPr>
        <w:footnoteReference w:id="177"/>
      </w:r>
      <w:r w:rsidR="001C5B6C" w:rsidRPr="00925B59">
        <w:rPr>
          <w:lang w:val="en-US"/>
        </w:rPr>
        <w:t xml:space="preserve"> </w:t>
      </w:r>
      <w:r w:rsidR="002914BA" w:rsidRPr="00925B59">
        <w:rPr>
          <w:lang w:val="en-US"/>
        </w:rPr>
        <w:t>The GEF requ</w:t>
      </w:r>
      <w:r w:rsidR="00900642">
        <w:rPr>
          <w:lang w:val="en-US"/>
        </w:rPr>
        <w:t xml:space="preserve">ires </w:t>
      </w:r>
      <w:r w:rsidR="003510D9">
        <w:rPr>
          <w:lang w:val="en-US"/>
        </w:rPr>
        <w:t>engag</w:t>
      </w:r>
      <w:r w:rsidR="00AD5148">
        <w:rPr>
          <w:lang w:val="en-US"/>
        </w:rPr>
        <w:t>e</w:t>
      </w:r>
      <w:r w:rsidR="003510D9">
        <w:rPr>
          <w:lang w:val="en-US"/>
        </w:rPr>
        <w:t>ment</w:t>
      </w:r>
      <w:r w:rsidR="00900642">
        <w:rPr>
          <w:lang w:val="en-US"/>
        </w:rPr>
        <w:t xml:space="preserve"> whenever a GEF</w:t>
      </w:r>
      <w:r w:rsidR="002914BA" w:rsidRPr="00925B59">
        <w:rPr>
          <w:lang w:val="en-US"/>
        </w:rPr>
        <w:t xml:space="preserve">-financed project is “anticipated to adversely affect” </w:t>
      </w:r>
      <w:r w:rsidR="00C95A84">
        <w:rPr>
          <w:lang w:val="en-US"/>
        </w:rPr>
        <w:t>Indigenous</w:t>
      </w:r>
      <w:r w:rsidR="00FC63E1">
        <w:rPr>
          <w:lang w:val="en-US"/>
        </w:rPr>
        <w:t xml:space="preserve"> Peoples</w:t>
      </w:r>
      <w:r w:rsidR="002914BA" w:rsidRPr="00925B59">
        <w:rPr>
          <w:lang w:val="en-US"/>
        </w:rPr>
        <w:t>.</w:t>
      </w:r>
      <w:r w:rsidR="002914BA" w:rsidRPr="00925B59">
        <w:rPr>
          <w:rStyle w:val="FootnoteReference"/>
          <w:lang w:val="en-US"/>
        </w:rPr>
        <w:footnoteReference w:id="178"/>
      </w:r>
      <w:r w:rsidR="002914BA" w:rsidRPr="00925B59">
        <w:rPr>
          <w:lang w:val="en-US"/>
        </w:rPr>
        <w:t xml:space="preserve"> </w:t>
      </w:r>
      <w:r w:rsidR="00EE4BCD" w:rsidRPr="00925B59">
        <w:t xml:space="preserve">Many activities have the potential to affect </w:t>
      </w:r>
      <w:r w:rsidR="00C95A84">
        <w:t>Indigenous</w:t>
      </w:r>
      <w:r w:rsidR="00EE4BCD" w:rsidRPr="00925B59">
        <w:t xml:space="preserve"> rights, including but not limited to land management and disposition, environmental protection, cultural and historical preservation, protected area rules, and proposed economic development.</w:t>
      </w:r>
      <w:r w:rsidR="00EE4BCD" w:rsidRPr="00925B59">
        <w:rPr>
          <w:rStyle w:val="FootnoteReference"/>
        </w:rPr>
        <w:footnoteReference w:id="179"/>
      </w:r>
      <w:r w:rsidR="00EE4BCD" w:rsidRPr="00925B59">
        <w:t xml:space="preserve"> </w:t>
      </w:r>
    </w:p>
    <w:p w14:paraId="29D394B6" w14:textId="4AC9392E" w:rsidR="00054E0F" w:rsidRPr="00925B59" w:rsidRDefault="00F70E1A" w:rsidP="00EE4BCD">
      <w:pPr>
        <w:widowControl w:val="0"/>
        <w:autoSpaceDE w:val="0"/>
        <w:autoSpaceDN w:val="0"/>
        <w:adjustRightInd w:val="0"/>
      </w:pPr>
      <w:r w:rsidRPr="00925B59">
        <w:t xml:space="preserve">Once a party determines that engagement is necessary, it must </w:t>
      </w:r>
      <w:r w:rsidR="00046BCE" w:rsidRPr="00925B59">
        <w:t xml:space="preserve">consider to what depth engagement is warranted. </w:t>
      </w:r>
      <w:r w:rsidR="00054E0F" w:rsidRPr="00925B59">
        <w:t>Engagement can occur in different degrees.</w:t>
      </w:r>
      <w:r w:rsidR="00054E0F" w:rsidRPr="00925B59">
        <w:rPr>
          <w:rStyle w:val="FootnoteReference"/>
        </w:rPr>
        <w:footnoteReference w:id="180"/>
      </w:r>
      <w:r w:rsidR="00054E0F" w:rsidRPr="00925B59">
        <w:t xml:space="preserve"> The appropriate amount o</w:t>
      </w:r>
      <w:r w:rsidR="00205F3C">
        <w:t>f engagement in consultations can be</w:t>
      </w:r>
      <w:r w:rsidR="00054E0F" w:rsidRPr="00925B59">
        <w:t xml:space="preserve"> determined according to a spectrum analysis, which links the depth of engagement to the anticipated degree of impacts.</w:t>
      </w:r>
      <w:bookmarkStart w:id="75" w:name="_Ref334007277"/>
      <w:r w:rsidR="00054E0F" w:rsidRPr="00925B59">
        <w:rPr>
          <w:rStyle w:val="FootnoteReference"/>
        </w:rPr>
        <w:footnoteReference w:id="181"/>
      </w:r>
      <w:bookmarkEnd w:id="75"/>
      <w:r w:rsidR="00054E0F" w:rsidRPr="00925B59">
        <w:t xml:space="preserve"> The severity of impact, including the scale, scope and irremediable character of the impact, is a central issue in this assessment.</w:t>
      </w:r>
      <w:r w:rsidR="00054E0F" w:rsidRPr="00925B59">
        <w:rPr>
          <w:rStyle w:val="FootnoteReference"/>
        </w:rPr>
        <w:footnoteReference w:id="182"/>
      </w:r>
      <w:r w:rsidR="003E0CAA" w:rsidRPr="00925B59">
        <w:t xml:space="preserve"> Even in cases where impacts will be minor, </w:t>
      </w:r>
      <w:r w:rsidR="007E71D6" w:rsidRPr="00925B59">
        <w:t xml:space="preserve">some amount of </w:t>
      </w:r>
      <w:r w:rsidR="003E0CAA" w:rsidRPr="00925B59">
        <w:t>consultation is required.</w:t>
      </w:r>
      <w:r w:rsidR="003E0CAA" w:rsidRPr="00925B59">
        <w:rPr>
          <w:rStyle w:val="FootnoteReference"/>
        </w:rPr>
        <w:footnoteReference w:id="183"/>
      </w:r>
      <w:r w:rsidR="00EE4BCD" w:rsidRPr="00925B59">
        <w:t xml:space="preserve"> </w:t>
      </w:r>
      <w:r w:rsidR="00AD5148">
        <w:t>The interests of and relevance to the community also determine the degree of appropriate engagement.</w:t>
      </w:r>
      <w:r w:rsidR="00AD5148">
        <w:rPr>
          <w:rStyle w:val="FootnoteReference"/>
        </w:rPr>
        <w:footnoteReference w:id="184"/>
      </w:r>
      <w:r w:rsidR="00AC271C">
        <w:t xml:space="preserve"> </w:t>
      </w:r>
      <w:r w:rsidR="003510D9">
        <w:t>To be meaningful, engagement with</w:t>
      </w:r>
      <w:r w:rsidR="005A6CC8" w:rsidRPr="00925B59">
        <w:t xml:space="preserve"> </w:t>
      </w:r>
      <w:r w:rsidR="00C95A84">
        <w:t>Indigenous</w:t>
      </w:r>
      <w:r w:rsidR="00FC63E1">
        <w:t xml:space="preserve"> Peoples</w:t>
      </w:r>
      <w:r w:rsidR="003510D9">
        <w:t xml:space="preserve"> should go well beyond minimal levels required by formal consultation.</w:t>
      </w:r>
    </w:p>
    <w:p w14:paraId="34FCE35C" w14:textId="77777777" w:rsidR="00054E0F" w:rsidRPr="00925B59" w:rsidRDefault="00054E0F" w:rsidP="00B12B13"/>
    <w:p w14:paraId="7B8DE78C" w14:textId="481FD930" w:rsidR="00CD2D62" w:rsidRPr="00925B59" w:rsidRDefault="003510D9" w:rsidP="009F5CA2">
      <w:pPr>
        <w:widowControl w:val="0"/>
        <w:tabs>
          <w:tab w:val="left" w:pos="220"/>
          <w:tab w:val="left" w:pos="720"/>
        </w:tabs>
        <w:autoSpaceDE w:val="0"/>
        <w:autoSpaceDN w:val="0"/>
        <w:adjustRightInd w:val="0"/>
        <w:spacing w:after="320"/>
      </w:pPr>
      <w:r>
        <w:t>P</w:t>
      </w:r>
      <w:r w:rsidR="00EA5340">
        <w:t>rior to initiating engagement, o</w:t>
      </w:r>
      <w:r w:rsidR="00DE62A8" w:rsidRPr="00925B59">
        <w:t>rganizations</w:t>
      </w:r>
      <w:r w:rsidR="00EA5340">
        <w:t xml:space="preserve"> can</w:t>
      </w:r>
      <w:r w:rsidR="00CD6F3B" w:rsidRPr="00925B59">
        <w:t xml:space="preserve"> </w:t>
      </w:r>
      <w:r w:rsidR="00EA5340">
        <w:t>assess whether Indigenous Peoples will be affected by proposed activities and if so, to what degree.</w:t>
      </w:r>
      <w:r w:rsidR="00054E0F" w:rsidRPr="00925B59">
        <w:rPr>
          <w:rStyle w:val="FootnoteReference"/>
        </w:rPr>
        <w:t xml:space="preserve"> </w:t>
      </w:r>
      <w:r w:rsidR="00054E0F" w:rsidRPr="00925B59">
        <w:t xml:space="preserve">However, during the process of engagement, information may change this analysis. To assess the degree of potential impacts, </w:t>
      </w:r>
      <w:r w:rsidR="001413A8">
        <w:t>gathering</w:t>
      </w:r>
      <w:r w:rsidR="00054E0F" w:rsidRPr="00925B59">
        <w:t xml:space="preserve"> information from </w:t>
      </w:r>
      <w:r w:rsidR="00C95A84">
        <w:t>Indigenous</w:t>
      </w:r>
      <w:r w:rsidR="00FC63E1">
        <w:t xml:space="preserve"> Peoples</w:t>
      </w:r>
      <w:r w:rsidR="00C51B8D" w:rsidRPr="00925B59">
        <w:t xml:space="preserve"> and communities</w:t>
      </w:r>
      <w:r w:rsidR="00054E0F" w:rsidRPr="00925B59">
        <w:t xml:space="preserve"> is important because they are the primary authority for determining whether a particular activity will have impacts on their interests. As </w:t>
      </w:r>
      <w:r w:rsidR="003E0CAA" w:rsidRPr="00925B59">
        <w:t xml:space="preserve">the Beaver Lake Cree Nation </w:t>
      </w:r>
      <w:r w:rsidR="004664FB" w:rsidRPr="00925B59">
        <w:t xml:space="preserve">consultation </w:t>
      </w:r>
      <w:r w:rsidR="003E0CAA" w:rsidRPr="00925B59">
        <w:t>policy states, the First Nation “</w:t>
      </w:r>
      <w:r w:rsidR="003E0CAA" w:rsidRPr="00925B59">
        <w:rPr>
          <w:color w:val="010302"/>
          <w:lang w:val="en-US"/>
        </w:rPr>
        <w:t>must be involved in scoping, prioritizing, and determining the level of engagement, consultation and accommodation required.”</w:t>
      </w:r>
      <w:r w:rsidR="003E0CAA" w:rsidRPr="00925B59">
        <w:rPr>
          <w:rStyle w:val="FootnoteReference"/>
          <w:color w:val="010302"/>
          <w:lang w:val="en-US"/>
        </w:rPr>
        <w:footnoteReference w:id="185"/>
      </w:r>
      <w:r w:rsidR="003E0CAA" w:rsidRPr="00925B59">
        <w:rPr>
          <w:color w:val="010302"/>
          <w:lang w:val="en-US"/>
        </w:rPr>
        <w:t xml:space="preserve"> The </w:t>
      </w:r>
      <w:r w:rsidR="008A7D02">
        <w:t xml:space="preserve">Carrier </w:t>
      </w:r>
      <w:proofErr w:type="spellStart"/>
      <w:r w:rsidR="008A7D02">
        <w:t>Sekani</w:t>
      </w:r>
      <w:proofErr w:type="spellEnd"/>
      <w:r w:rsidR="008A7D02">
        <w:t xml:space="preserve"> Tribal Council states even more forcefully</w:t>
      </w:r>
      <w:r w:rsidR="00054E0F" w:rsidRPr="00925B59">
        <w:t>, “Only an Aboriginal group affected by a proposed project can measure how a project will impact its cultural heritage.”</w:t>
      </w:r>
      <w:r w:rsidR="00054E0F" w:rsidRPr="00925B59">
        <w:rPr>
          <w:rStyle w:val="FootnoteReference"/>
        </w:rPr>
        <w:footnoteReference w:id="186"/>
      </w:r>
      <w:r w:rsidR="00D067E6" w:rsidRPr="00925B59">
        <w:t xml:space="preserve"> </w:t>
      </w:r>
      <w:r w:rsidR="003A4B35" w:rsidRPr="00925B59">
        <w:t xml:space="preserve">While </w:t>
      </w:r>
      <w:r w:rsidR="00BB08CE">
        <w:t xml:space="preserve">laws will determine the required </w:t>
      </w:r>
      <w:r w:rsidR="003A4B35" w:rsidRPr="00925B59">
        <w:t>minimal levels of engagement, d</w:t>
      </w:r>
      <w:r w:rsidR="00EE4BCD" w:rsidRPr="00925B59">
        <w:t xml:space="preserve">eeper levels of engagement often result in response to societal norms and </w:t>
      </w:r>
      <w:r w:rsidR="00C95A84">
        <w:t>Indigenous</w:t>
      </w:r>
      <w:r w:rsidR="00EE4BCD" w:rsidRPr="00925B59">
        <w:t xml:space="preserve">, research, </w:t>
      </w:r>
      <w:r w:rsidR="00EE4BCD" w:rsidRPr="00925B59">
        <w:lastRenderedPageBreak/>
        <w:t>NGO, and corporate policies.</w:t>
      </w:r>
    </w:p>
    <w:p w14:paraId="4B7820F9" w14:textId="5DEB3677" w:rsidR="00B50427" w:rsidRPr="00F93F95" w:rsidRDefault="00DF361A" w:rsidP="00F93F95">
      <w:pPr>
        <w:pStyle w:val="Heading2"/>
        <w:numPr>
          <w:ilvl w:val="0"/>
          <w:numId w:val="20"/>
        </w:numPr>
        <w:rPr>
          <w:rFonts w:ascii="Times New Roman" w:hAnsi="Times New Roman" w:cs="Times New Roman"/>
          <w:color w:val="auto"/>
          <w:sz w:val="24"/>
          <w:szCs w:val="24"/>
          <w:u w:val="single"/>
        </w:rPr>
      </w:pPr>
      <w:bookmarkStart w:id="76" w:name="_Toc334125708"/>
      <w:r w:rsidRPr="00F93F95">
        <w:rPr>
          <w:rFonts w:ascii="Times New Roman" w:hAnsi="Times New Roman" w:cs="Times New Roman"/>
          <w:color w:val="auto"/>
          <w:sz w:val="24"/>
          <w:szCs w:val="24"/>
          <w:u w:val="single"/>
        </w:rPr>
        <w:t>Comprehensive, culturally appropriate i</w:t>
      </w:r>
      <w:r w:rsidR="00B50427" w:rsidRPr="00F93F95">
        <w:rPr>
          <w:rFonts w:ascii="Times New Roman" w:hAnsi="Times New Roman" w:cs="Times New Roman"/>
          <w:color w:val="auto"/>
          <w:sz w:val="24"/>
          <w:szCs w:val="24"/>
          <w:u w:val="single"/>
        </w:rPr>
        <w:t>nformation sharing</w:t>
      </w:r>
      <w:bookmarkEnd w:id="76"/>
      <w:r w:rsidR="00B50427" w:rsidRPr="00F93F95">
        <w:rPr>
          <w:rFonts w:ascii="Times New Roman" w:hAnsi="Times New Roman" w:cs="Times New Roman"/>
          <w:color w:val="auto"/>
          <w:sz w:val="24"/>
          <w:szCs w:val="24"/>
          <w:u w:val="single"/>
        </w:rPr>
        <w:t xml:space="preserve"> </w:t>
      </w:r>
    </w:p>
    <w:p w14:paraId="5A95BEAE" w14:textId="2F66E5C4" w:rsidR="00B50427" w:rsidRPr="00925B59" w:rsidRDefault="00B50427" w:rsidP="00B12B13">
      <w:pPr>
        <w:pStyle w:val="ListParagraph"/>
        <w:widowControl w:val="0"/>
        <w:autoSpaceDE w:val="0"/>
        <w:autoSpaceDN w:val="0"/>
        <w:adjustRightInd w:val="0"/>
      </w:pPr>
    </w:p>
    <w:p w14:paraId="3DC10B54" w14:textId="06C02013" w:rsidR="00B50427" w:rsidRDefault="00B50427" w:rsidP="00B12B13">
      <w:pPr>
        <w:widowControl w:val="0"/>
        <w:autoSpaceDE w:val="0"/>
        <w:autoSpaceDN w:val="0"/>
        <w:adjustRightInd w:val="0"/>
      </w:pPr>
      <w:r w:rsidRPr="00925B59">
        <w:t>One of the fundamental tenants of engagement is that i</w:t>
      </w:r>
      <w:r w:rsidR="00CD2D62">
        <w:t>t</w:t>
      </w:r>
      <w:r w:rsidRPr="00925B59">
        <w:t xml:space="preserve"> be informed. </w:t>
      </w:r>
      <w:r w:rsidR="00AD29DB" w:rsidRPr="00925B59">
        <w:t xml:space="preserve">The quantitative analysis </w:t>
      </w:r>
      <w:r w:rsidR="00D73F78">
        <w:t>conducted for the MEMA project</w:t>
      </w:r>
      <w:r w:rsidR="00AD29DB" w:rsidRPr="00925B59">
        <w:t xml:space="preserve"> identified information sharing as a key element of engagement.</w:t>
      </w:r>
      <w:r w:rsidR="00AD29DB" w:rsidRPr="00925B59">
        <w:rPr>
          <w:rStyle w:val="FootnoteReference"/>
        </w:rPr>
        <w:footnoteReference w:id="187"/>
      </w:r>
      <w:r w:rsidR="00AD29DB" w:rsidRPr="00925B59">
        <w:t xml:space="preserve"> </w:t>
      </w:r>
      <w:r w:rsidRPr="00925B59">
        <w:t xml:space="preserve">Information sharing during </w:t>
      </w:r>
      <w:r w:rsidR="00555AAF">
        <w:t>engagement</w:t>
      </w:r>
      <w:r w:rsidRPr="00925B59">
        <w:t xml:space="preserve"> should be a balanced and reciprocal process that allows groups to make informed input on activities, supports mutual understanding, and ensures all parties have the same level of knowledge.</w:t>
      </w:r>
      <w:r w:rsidRPr="00925B59">
        <w:rPr>
          <w:rStyle w:val="FootnoteReference"/>
        </w:rPr>
        <w:footnoteReference w:id="188"/>
      </w:r>
      <w:r w:rsidR="001321C0">
        <w:t xml:space="preserve"> Indigenous Peoples must have </w:t>
      </w:r>
      <w:r w:rsidR="00581B21" w:rsidRPr="00925B59">
        <w:t xml:space="preserve">adequate knowledge and resources to </w:t>
      </w:r>
      <w:r w:rsidR="00C81250" w:rsidRPr="00925B59">
        <w:t>participate</w:t>
      </w:r>
      <w:r w:rsidR="001321C0">
        <w:t xml:space="preserve"> in the engagement process.</w:t>
      </w:r>
      <w:r w:rsidR="001D00C4">
        <w:rPr>
          <w:rStyle w:val="FootnoteReference"/>
        </w:rPr>
        <w:footnoteReference w:id="189"/>
      </w:r>
      <w:r w:rsidR="00C81250" w:rsidRPr="00925B59">
        <w:t xml:space="preserve"> </w:t>
      </w:r>
      <w:r w:rsidR="007C6B0E">
        <w:t xml:space="preserve">Outside entities must also have adequate information about Indigenous Peoples </w:t>
      </w:r>
      <w:r w:rsidR="00711DA4">
        <w:t>and Indigenous Knowledge</w:t>
      </w:r>
      <w:r w:rsidR="007C6B0E">
        <w:t xml:space="preserve"> to conduct successful activities in the Arctic.</w:t>
      </w:r>
    </w:p>
    <w:p w14:paraId="5BA0B466" w14:textId="77777777" w:rsidR="00711DA4" w:rsidRDefault="00711DA4" w:rsidP="00B12B13">
      <w:pPr>
        <w:widowControl w:val="0"/>
        <w:autoSpaceDE w:val="0"/>
        <w:autoSpaceDN w:val="0"/>
        <w:adjustRightInd w:val="0"/>
      </w:pPr>
    </w:p>
    <w:p w14:paraId="58B67FA3" w14:textId="53F254D4" w:rsidR="00B74EC2" w:rsidRDefault="00711DA4" w:rsidP="00B74EC2">
      <w:pPr>
        <w:widowControl w:val="0"/>
        <w:autoSpaceDE w:val="0"/>
        <w:autoSpaceDN w:val="0"/>
        <w:adjustRightInd w:val="0"/>
      </w:pPr>
      <w:r>
        <w:t>Many recommendations from the Arctic Council addressed the importance and process of information sharing, emphasizing the need for the information to be culturally appropriate</w:t>
      </w:r>
      <w:r w:rsidR="002E6A3A">
        <w:t xml:space="preserve">, </w:t>
      </w:r>
      <w:r>
        <w:t>accessible,</w:t>
      </w:r>
      <w:r w:rsidR="002E6A3A">
        <w:t xml:space="preserve"> transparent, and adequately funded.</w:t>
      </w:r>
      <w:bookmarkStart w:id="77" w:name="_Ref334001851"/>
      <w:r>
        <w:rPr>
          <w:rStyle w:val="FootnoteReference"/>
        </w:rPr>
        <w:footnoteReference w:id="190"/>
      </w:r>
      <w:bookmarkEnd w:id="77"/>
      <w:r w:rsidR="002E6A3A">
        <w:t xml:space="preserve"> </w:t>
      </w:r>
      <w:r w:rsidR="00B74EC2" w:rsidRPr="00925B59">
        <w:rPr>
          <w:lang w:val="en-US"/>
        </w:rPr>
        <w:t xml:space="preserve">The Arctic Council has developed numerous recommendations on the use of </w:t>
      </w:r>
      <w:r w:rsidR="00B74EC2">
        <w:rPr>
          <w:lang w:val="en-US"/>
        </w:rPr>
        <w:t>Indigenous Knowledge</w:t>
      </w:r>
      <w:r w:rsidR="00B74EC2" w:rsidRPr="00925B59">
        <w:rPr>
          <w:lang w:val="en-US"/>
        </w:rPr>
        <w:t>, including for research, assessments, development, resource management and decision-making.</w:t>
      </w:r>
      <w:bookmarkStart w:id="78" w:name="_Ref334006431"/>
      <w:r w:rsidR="00B74EC2" w:rsidRPr="00925B59">
        <w:rPr>
          <w:rStyle w:val="FootnoteReference"/>
          <w:lang w:val="en-US"/>
        </w:rPr>
        <w:footnoteReference w:id="191"/>
      </w:r>
      <w:bookmarkEnd w:id="78"/>
      <w:r w:rsidR="00B74EC2">
        <w:rPr>
          <w:lang w:val="en-US"/>
        </w:rPr>
        <w:t xml:space="preserve"> </w:t>
      </w:r>
      <w:r w:rsidR="00AD0B7B" w:rsidRPr="00925B59">
        <w:rPr>
          <w:lang w:val="en-US"/>
        </w:rPr>
        <w:t>The Arctic Climat</w:t>
      </w:r>
      <w:r w:rsidR="00AD0B7B">
        <w:rPr>
          <w:lang w:val="en-US"/>
        </w:rPr>
        <w:t>e</w:t>
      </w:r>
      <w:r w:rsidR="00AD0B7B" w:rsidRPr="00925B59">
        <w:rPr>
          <w:lang w:val="en-US"/>
        </w:rPr>
        <w:t xml:space="preserve"> Impact Assessment was one of the first major scientific reports to </w:t>
      </w:r>
      <w:r w:rsidR="00AD0B7B">
        <w:rPr>
          <w:lang w:val="en-US"/>
        </w:rPr>
        <w:t>involve information from Indigenous Knowledge holders through engagement of social scientists. Additionally the report stresses the importance and great value of Indigenous Knowledge</w:t>
      </w:r>
      <w:r w:rsidR="00AD0B7B" w:rsidRPr="00925B59">
        <w:rPr>
          <w:lang w:val="en-US"/>
        </w:rPr>
        <w:t>.</w:t>
      </w:r>
      <w:r w:rsidR="00AD0B7B" w:rsidRPr="00925B59">
        <w:rPr>
          <w:rStyle w:val="FootnoteReference"/>
          <w:lang w:val="en-US"/>
        </w:rPr>
        <w:footnoteReference w:id="192"/>
      </w:r>
      <w:r w:rsidR="00AD0B7B">
        <w:rPr>
          <w:lang w:val="en-US"/>
        </w:rPr>
        <w:t xml:space="preserve"> </w:t>
      </w:r>
      <w:r w:rsidR="00B74EC2">
        <w:rPr>
          <w:lang w:val="en-US"/>
        </w:rPr>
        <w:t>Also, t</w:t>
      </w:r>
      <w:r w:rsidR="00B74EC2" w:rsidRPr="00925B59">
        <w:rPr>
          <w:lang w:val="en-US"/>
        </w:rPr>
        <w:t>he Permanent Participants have issued guid</w:t>
      </w:r>
      <w:r w:rsidR="00B74EC2">
        <w:rPr>
          <w:lang w:val="en-US"/>
        </w:rPr>
        <w:t>ance on the use of Indigenous K</w:t>
      </w:r>
      <w:r w:rsidR="00B74EC2" w:rsidRPr="00925B59">
        <w:rPr>
          <w:lang w:val="en-US"/>
        </w:rPr>
        <w:t>nowledge in the work of the Arctic Council.</w:t>
      </w:r>
      <w:r w:rsidR="00B74EC2" w:rsidRPr="00925B59">
        <w:rPr>
          <w:rStyle w:val="FootnoteReference"/>
          <w:lang w:val="en-US"/>
        </w:rPr>
        <w:footnoteReference w:id="193"/>
      </w:r>
      <w:r w:rsidR="00B74EC2" w:rsidRPr="00925B59">
        <w:rPr>
          <w:lang w:val="en-US"/>
        </w:rPr>
        <w:t xml:space="preserve"> </w:t>
      </w:r>
      <w:r w:rsidR="00B74EC2">
        <w:rPr>
          <w:lang w:val="en-US"/>
        </w:rPr>
        <w:t xml:space="preserve">In addition to following the guidelines, </w:t>
      </w:r>
      <w:r w:rsidR="00B74EC2">
        <w:t xml:space="preserve">Arctic Council project leads and proponents should contact the appropriate Permanent Participant organization to seek further detailed advice on the gathering and application of Indigenous Knowledge from a particular community, group or region. </w:t>
      </w:r>
    </w:p>
    <w:p w14:paraId="6DF82780" w14:textId="4A73E262" w:rsidR="00A20C0E" w:rsidRDefault="00A20C0E" w:rsidP="00B12B13">
      <w:pPr>
        <w:widowControl w:val="0"/>
        <w:autoSpaceDE w:val="0"/>
        <w:autoSpaceDN w:val="0"/>
        <w:adjustRightInd w:val="0"/>
      </w:pPr>
    </w:p>
    <w:p w14:paraId="385C2BEB" w14:textId="324014AD" w:rsidR="004C3088" w:rsidRPr="004B48D3" w:rsidRDefault="00D536C3" w:rsidP="00B12B13">
      <w:pPr>
        <w:widowControl w:val="0"/>
        <w:autoSpaceDE w:val="0"/>
        <w:autoSpaceDN w:val="0"/>
        <w:adjustRightInd w:val="0"/>
        <w:rPr>
          <w:lang w:val="en-US"/>
        </w:rPr>
      </w:pPr>
      <w:r>
        <w:rPr>
          <w:rFonts w:eastAsia="Times New Roman"/>
          <w:color w:val="000000"/>
          <w:lang w:val="en-US"/>
        </w:rPr>
        <w:t>C</w:t>
      </w:r>
      <w:r w:rsidR="004C3088" w:rsidRPr="005B2396">
        <w:rPr>
          <w:rFonts w:eastAsia="Times New Roman"/>
          <w:color w:val="000000"/>
          <w:lang w:val="en-US"/>
        </w:rPr>
        <w:t xml:space="preserve">ontributions by Permanent Participants provide an </w:t>
      </w:r>
      <w:r>
        <w:rPr>
          <w:rFonts w:eastAsia="Times New Roman"/>
          <w:color w:val="000000"/>
          <w:lang w:val="en-US"/>
        </w:rPr>
        <w:t xml:space="preserve">Indigenous worldview </w:t>
      </w:r>
      <w:r w:rsidR="004C3088" w:rsidRPr="009611F8">
        <w:rPr>
          <w:rFonts w:eastAsia="Times New Roman"/>
          <w:color w:val="000000"/>
          <w:lang w:val="en-US"/>
        </w:rPr>
        <w:t xml:space="preserve">to Arctic Council assessments and projects. For example, a report from the ICC about Indigenous use of sea ice </w:t>
      </w:r>
      <w:r w:rsidR="004C3088" w:rsidRPr="00E4622A">
        <w:rPr>
          <w:rFonts w:eastAsia="Times New Roman"/>
          <w:color w:val="000000"/>
          <w:lang w:val="en-US"/>
        </w:rPr>
        <w:t xml:space="preserve">provided the Arctic Marine Shipping Assessment project with an Inuit perspective on the human </w:t>
      </w:r>
      <w:r w:rsidR="004C3088" w:rsidRPr="00E4622A">
        <w:rPr>
          <w:rFonts w:eastAsia="Times New Roman"/>
          <w:color w:val="000000"/>
          <w:lang w:val="en-US"/>
        </w:rPr>
        <w:lastRenderedPageBreak/>
        <w:t xml:space="preserve">dimensions of </w:t>
      </w:r>
      <w:r w:rsidR="004C3088" w:rsidRPr="00341990">
        <w:rPr>
          <w:rFonts w:eastAsia="Times New Roman"/>
          <w:color w:val="000000"/>
          <w:lang w:val="en-US"/>
        </w:rPr>
        <w:t>shipping.</w:t>
      </w:r>
      <w:r w:rsidR="004C3088" w:rsidRPr="005B2396">
        <w:rPr>
          <w:rStyle w:val="FootnoteReference"/>
          <w:rFonts w:eastAsia="Times New Roman"/>
          <w:color w:val="000000"/>
          <w:lang w:val="en-US"/>
        </w:rPr>
        <w:footnoteReference w:id="194"/>
      </w:r>
      <w:r w:rsidR="004C3088" w:rsidRPr="005B2396">
        <w:rPr>
          <w:rFonts w:eastAsia="Times New Roman"/>
          <w:color w:val="000000"/>
          <w:lang w:val="en-US"/>
        </w:rPr>
        <w:t xml:space="preserve"> Another report from ICC </w:t>
      </w:r>
      <w:r w:rsidR="004C3088" w:rsidRPr="005B2396">
        <w:rPr>
          <w:lang w:val="en-US"/>
        </w:rPr>
        <w:t>gives voice to Inuit perspectives and concerns regarding the impact of changes in the Arctic.</w:t>
      </w:r>
      <w:r w:rsidR="004C3088" w:rsidRPr="005B2396">
        <w:rPr>
          <w:rStyle w:val="FootnoteReference"/>
          <w:lang w:val="en-US"/>
        </w:rPr>
        <w:footnoteReference w:id="195"/>
      </w:r>
      <w:r w:rsidR="004B48D3">
        <w:rPr>
          <w:lang w:val="en-US"/>
        </w:rPr>
        <w:t xml:space="preserve"> CAFF’s report on Indigenous Knowledge provides explanations of how Indigenous ways of knowing can be applied to understand biodiversit</w:t>
      </w:r>
      <w:r w:rsidR="001B31A7">
        <w:rPr>
          <w:lang w:val="en-US"/>
        </w:rPr>
        <w:t xml:space="preserve">y change and recommendations </w:t>
      </w:r>
      <w:r w:rsidR="00A33527">
        <w:rPr>
          <w:lang w:val="en-US"/>
        </w:rPr>
        <w:t>to strengthen the</w:t>
      </w:r>
      <w:r w:rsidR="004B48D3">
        <w:rPr>
          <w:lang w:val="en-US"/>
        </w:rPr>
        <w:t xml:space="preserve"> use of Indigenous Knowledge.</w:t>
      </w:r>
      <w:r w:rsidR="00256379">
        <w:rPr>
          <w:rStyle w:val="FootnoteReference"/>
          <w:lang w:val="en-US"/>
        </w:rPr>
        <w:footnoteReference w:id="196"/>
      </w:r>
      <w:r w:rsidR="004B48D3">
        <w:rPr>
          <w:lang w:val="en-US"/>
        </w:rPr>
        <w:t xml:space="preserve"> </w:t>
      </w:r>
      <w:r w:rsidR="00B74EC2">
        <w:t>Many Arctic Council recommendations also address community based monitoring.</w:t>
      </w:r>
      <w:r w:rsidR="00B74EC2">
        <w:rPr>
          <w:rStyle w:val="FootnoteReference"/>
        </w:rPr>
        <w:footnoteReference w:id="197"/>
      </w:r>
    </w:p>
    <w:p w14:paraId="641048B1" w14:textId="278F6FF5" w:rsidR="00A20C0E" w:rsidRPr="007D7037" w:rsidRDefault="008A1225" w:rsidP="007D7037">
      <w:pPr>
        <w:pStyle w:val="Heading3"/>
        <w:numPr>
          <w:ilvl w:val="0"/>
          <w:numId w:val="25"/>
        </w:numPr>
        <w:rPr>
          <w:rFonts w:ascii="Times New Roman" w:hAnsi="Times New Roman" w:cs="Times New Roman"/>
          <w:b w:val="0"/>
          <w:color w:val="auto"/>
          <w:lang w:val="en-US"/>
        </w:rPr>
      </w:pPr>
      <w:bookmarkStart w:id="79" w:name="_Toc334125709"/>
      <w:r w:rsidRPr="007D7037">
        <w:rPr>
          <w:rFonts w:ascii="Times New Roman" w:hAnsi="Times New Roman" w:cs="Times New Roman"/>
          <w:b w:val="0"/>
          <w:color w:val="auto"/>
          <w:lang w:val="en-US"/>
        </w:rPr>
        <w:t>C</w:t>
      </w:r>
      <w:r w:rsidR="00E548E1" w:rsidRPr="007D7037">
        <w:rPr>
          <w:rFonts w:ascii="Times New Roman" w:hAnsi="Times New Roman" w:cs="Times New Roman"/>
          <w:b w:val="0"/>
          <w:color w:val="auto"/>
          <w:lang w:val="en-US"/>
        </w:rPr>
        <w:t xml:space="preserve">ulturally appropriate and </w:t>
      </w:r>
      <w:r w:rsidR="00A20C0E" w:rsidRPr="007D7037">
        <w:rPr>
          <w:rFonts w:ascii="Times New Roman" w:hAnsi="Times New Roman" w:cs="Times New Roman"/>
          <w:b w:val="0"/>
          <w:color w:val="auto"/>
          <w:lang w:val="en-US"/>
        </w:rPr>
        <w:t>accessible</w:t>
      </w:r>
      <w:bookmarkEnd w:id="79"/>
    </w:p>
    <w:p w14:paraId="553797BB" w14:textId="77777777" w:rsidR="00A20C0E" w:rsidRPr="00925B59" w:rsidRDefault="00A20C0E" w:rsidP="00A20C0E">
      <w:pPr>
        <w:pStyle w:val="ListParagraph"/>
        <w:widowControl w:val="0"/>
        <w:autoSpaceDE w:val="0"/>
        <w:autoSpaceDN w:val="0"/>
        <w:adjustRightInd w:val="0"/>
        <w:rPr>
          <w:lang w:val="en-US"/>
        </w:rPr>
      </w:pPr>
    </w:p>
    <w:p w14:paraId="38F8705D" w14:textId="19D82029" w:rsidR="00B22ABB" w:rsidRPr="009B4856" w:rsidRDefault="009F6469" w:rsidP="00B22ABB">
      <w:pPr>
        <w:rPr>
          <w:rFonts w:eastAsia="Times New Roman"/>
          <w:color w:val="000000"/>
          <w:lang w:val="en-US"/>
        </w:rPr>
      </w:pPr>
      <w:r>
        <w:t xml:space="preserve">Information must be culturally appropriate and accessible. </w:t>
      </w:r>
      <w:r w:rsidR="00333D28" w:rsidRPr="00925B59">
        <w:t xml:space="preserve">Arctic Council recommendations stress the importance of ensuring, for example, that </w:t>
      </w:r>
      <w:r w:rsidR="00333D28" w:rsidRPr="00925B59">
        <w:rPr>
          <w:rFonts w:eastAsia="Times New Roman"/>
          <w:color w:val="000000"/>
          <w:lang w:val="en-US"/>
        </w:rPr>
        <w:t xml:space="preserve">scientific, human development, economic, and health </w:t>
      </w:r>
      <w:r w:rsidR="00333D28" w:rsidRPr="00925B59">
        <w:t>information is accessible to communities.</w:t>
      </w:r>
      <w:r w:rsidR="00333D28" w:rsidRPr="00925B59">
        <w:rPr>
          <w:rStyle w:val="FootnoteReference"/>
          <w:rFonts w:eastAsia="Times New Roman"/>
          <w:color w:val="000000"/>
          <w:lang w:val="en-US"/>
        </w:rPr>
        <w:footnoteReference w:id="198"/>
      </w:r>
      <w:r w:rsidR="00333D28" w:rsidRPr="00925B59">
        <w:rPr>
          <w:rFonts w:eastAsia="Times New Roman"/>
          <w:color w:val="000000"/>
          <w:lang w:val="en-US"/>
        </w:rPr>
        <w:t xml:space="preserve"> </w:t>
      </w:r>
      <w:r w:rsidR="00EF76FA" w:rsidRPr="00925B59">
        <w:rPr>
          <w:rFonts w:eastAsia="Times New Roman"/>
          <w:color w:val="000000"/>
          <w:lang w:val="en-US"/>
        </w:rPr>
        <w:t xml:space="preserve">As the Arctic Offshore Oil and Gas Guidelines point out, </w:t>
      </w:r>
      <w:r w:rsidR="00333D28" w:rsidRPr="00925B59">
        <w:rPr>
          <w:rFonts w:eastAsia="Times New Roman"/>
          <w:color w:val="000000"/>
          <w:lang w:val="en-US"/>
        </w:rPr>
        <w:t xml:space="preserve">one way to improve the accessibility of information is to communicate </w:t>
      </w:r>
      <w:r w:rsidR="00EF76FA" w:rsidRPr="00925B59">
        <w:rPr>
          <w:rFonts w:eastAsia="Times New Roman"/>
          <w:color w:val="000000"/>
          <w:lang w:val="en-US"/>
        </w:rPr>
        <w:t>in culturally appropriate ways and in local languages.</w:t>
      </w:r>
      <w:r w:rsidR="00EF76FA" w:rsidRPr="00925B59">
        <w:rPr>
          <w:rStyle w:val="FootnoteReference"/>
          <w:rFonts w:eastAsia="Times New Roman"/>
          <w:color w:val="000000"/>
          <w:lang w:val="en-US"/>
        </w:rPr>
        <w:footnoteReference w:id="199"/>
      </w:r>
      <w:r w:rsidR="00EF76FA" w:rsidRPr="00925B59">
        <w:rPr>
          <w:rFonts w:eastAsia="Times New Roman"/>
          <w:color w:val="000000"/>
          <w:lang w:val="en-US"/>
        </w:rPr>
        <w:t xml:space="preserve"> </w:t>
      </w:r>
      <w:r w:rsidR="00216E4B" w:rsidRPr="00925B59">
        <w:t xml:space="preserve">UN recommendations and guidelines for researchers </w:t>
      </w:r>
      <w:r w:rsidR="00EF76FA" w:rsidRPr="00925B59">
        <w:t xml:space="preserve">echo this </w:t>
      </w:r>
      <w:r w:rsidR="00333D28" w:rsidRPr="00925B59">
        <w:t>advice</w:t>
      </w:r>
      <w:r w:rsidR="00B50427" w:rsidRPr="00925B59">
        <w:t>.</w:t>
      </w:r>
      <w:r w:rsidR="00B50427" w:rsidRPr="00925B59">
        <w:rPr>
          <w:rStyle w:val="FootnoteReference"/>
        </w:rPr>
        <w:footnoteReference w:id="200"/>
      </w:r>
      <w:r w:rsidR="00B13EC9" w:rsidRPr="00925B59">
        <w:t xml:space="preserve"> </w:t>
      </w:r>
      <w:r w:rsidR="00323604" w:rsidRPr="00925B59">
        <w:rPr>
          <w:rFonts w:eastAsia="Times New Roman"/>
          <w:color w:val="000000"/>
          <w:lang w:val="en-US"/>
        </w:rPr>
        <w:t xml:space="preserve">In addition, </w:t>
      </w:r>
      <w:r w:rsidR="00A01732">
        <w:rPr>
          <w:rFonts w:eastAsia="Times New Roman"/>
          <w:color w:val="000000"/>
          <w:lang w:val="en-US"/>
        </w:rPr>
        <w:t xml:space="preserve">efforts to engage with Indigenous Peoples </w:t>
      </w:r>
      <w:r w:rsidR="00B07E2D" w:rsidRPr="00925B59">
        <w:rPr>
          <w:rFonts w:eastAsia="Times New Roman"/>
          <w:color w:val="000000"/>
          <w:lang w:val="en-US"/>
        </w:rPr>
        <w:t>should take into account</w:t>
      </w:r>
      <w:r w:rsidR="00A01732">
        <w:rPr>
          <w:rFonts w:eastAsia="Times New Roman"/>
          <w:color w:val="000000"/>
          <w:lang w:val="en-US"/>
        </w:rPr>
        <w:t xml:space="preserve"> the community’s other activities that could impact participation and engagement, such as other </w:t>
      </w:r>
      <w:r w:rsidR="00A01732" w:rsidRPr="009B4856">
        <w:rPr>
          <w:rFonts w:eastAsia="Times New Roman"/>
          <w:color w:val="000000"/>
          <w:lang w:val="en-US"/>
        </w:rPr>
        <w:t xml:space="preserve">meetings of importance, special community events and gatherings, </w:t>
      </w:r>
      <w:r w:rsidR="00632957" w:rsidRPr="009B4856">
        <w:rPr>
          <w:rFonts w:eastAsia="Times New Roman"/>
          <w:color w:val="000000"/>
          <w:lang w:val="en-US"/>
        </w:rPr>
        <w:t xml:space="preserve">and </w:t>
      </w:r>
      <w:r w:rsidR="00B07E2D" w:rsidRPr="009B4856">
        <w:rPr>
          <w:rFonts w:eastAsia="Times New Roman"/>
          <w:color w:val="000000"/>
          <w:lang w:val="en-US"/>
        </w:rPr>
        <w:t>local communities’ harvesting, hunting and fishing schedules.</w:t>
      </w:r>
      <w:r w:rsidR="00B07E2D" w:rsidRPr="009B4856">
        <w:rPr>
          <w:rStyle w:val="FootnoteReference"/>
          <w:rFonts w:eastAsia="Times New Roman"/>
          <w:color w:val="000000"/>
          <w:lang w:val="en-US"/>
        </w:rPr>
        <w:footnoteReference w:id="201"/>
      </w:r>
      <w:r w:rsidR="002B525E" w:rsidRPr="009B4856">
        <w:rPr>
          <w:rFonts w:eastAsia="Times New Roman"/>
          <w:color w:val="000000"/>
          <w:lang w:val="en-US"/>
        </w:rPr>
        <w:t xml:space="preserve"> </w:t>
      </w:r>
    </w:p>
    <w:p w14:paraId="23318CBB" w14:textId="23D05DC0" w:rsidR="00B22ABB" w:rsidRPr="009B4856" w:rsidRDefault="00B22ABB" w:rsidP="008202D5">
      <w:pPr>
        <w:rPr>
          <w:rFonts w:eastAsia="Times New Roman"/>
          <w:color w:val="000000"/>
          <w:lang w:val="en-US"/>
        </w:rPr>
      </w:pPr>
    </w:p>
    <w:p w14:paraId="40B5A5DA" w14:textId="3AC98BA8" w:rsidR="00A45435" w:rsidRPr="00D8359C" w:rsidRDefault="00592C46" w:rsidP="00D536C3">
      <w:pPr>
        <w:widowControl w:val="0"/>
        <w:tabs>
          <w:tab w:val="left" w:pos="220"/>
          <w:tab w:val="left" w:pos="720"/>
        </w:tabs>
        <w:autoSpaceDE w:val="0"/>
        <w:autoSpaceDN w:val="0"/>
        <w:adjustRightInd w:val="0"/>
        <w:spacing w:after="293"/>
        <w:rPr>
          <w:color w:val="000000"/>
          <w:lang w:val="en-US"/>
        </w:rPr>
      </w:pPr>
      <w:r w:rsidRPr="009B4856">
        <w:rPr>
          <w:rFonts w:eastAsia="Times New Roman"/>
          <w:color w:val="000000"/>
          <w:lang w:val="en-US"/>
        </w:rPr>
        <w:t>Cultural awareness</w:t>
      </w:r>
      <w:r w:rsidR="00333D28" w:rsidRPr="009B4856">
        <w:rPr>
          <w:rFonts w:eastAsia="Times New Roman"/>
          <w:color w:val="000000"/>
          <w:lang w:val="en-US"/>
        </w:rPr>
        <w:t xml:space="preserve"> underlies the understanding of how to communicate in </w:t>
      </w:r>
      <w:r w:rsidRPr="009B4856">
        <w:rPr>
          <w:rFonts w:eastAsia="Times New Roman"/>
          <w:color w:val="000000"/>
          <w:lang w:val="en-US"/>
        </w:rPr>
        <w:t xml:space="preserve">culturally appropriate </w:t>
      </w:r>
      <w:r w:rsidR="00333D28" w:rsidRPr="009B4856">
        <w:rPr>
          <w:rFonts w:eastAsia="Times New Roman"/>
          <w:color w:val="000000"/>
          <w:lang w:val="en-US"/>
        </w:rPr>
        <w:t>ways.</w:t>
      </w:r>
      <w:r w:rsidRPr="009B4856">
        <w:rPr>
          <w:rFonts w:eastAsia="Times New Roman"/>
          <w:color w:val="000000"/>
          <w:lang w:val="en-US"/>
        </w:rPr>
        <w:t xml:space="preserve"> </w:t>
      </w:r>
      <w:r w:rsidR="003767F7" w:rsidRPr="009B4856">
        <w:t xml:space="preserve">Cultural awareness can also provide a basis for more equitable relationships and guide the development of activities. For example, the </w:t>
      </w:r>
      <w:r w:rsidR="009B4856" w:rsidRPr="009B4856">
        <w:rPr>
          <w:lang w:val="en-US"/>
        </w:rPr>
        <w:t xml:space="preserve">Alaskan </w:t>
      </w:r>
      <w:r w:rsidR="00355D60">
        <w:rPr>
          <w:lang w:val="en-US"/>
        </w:rPr>
        <w:t xml:space="preserve">Inuit Food Security Conceptual </w:t>
      </w:r>
      <w:r w:rsidR="009B4856" w:rsidRPr="009B4856">
        <w:rPr>
          <w:lang w:val="en-US"/>
        </w:rPr>
        <w:t>Framework provides a platform for understanding food security from an Indigenous Peoples’ perspective and can help outsiders understand how to develop activities in partnership with Inuit to achieve mutual benefits.</w:t>
      </w:r>
      <w:r w:rsidR="009B4856">
        <w:rPr>
          <w:rStyle w:val="FootnoteReference"/>
          <w:lang w:val="en-US"/>
        </w:rPr>
        <w:footnoteReference w:id="202"/>
      </w:r>
      <w:r w:rsidR="009B4856">
        <w:rPr>
          <w:lang w:val="en-US"/>
        </w:rPr>
        <w:t xml:space="preserve"> </w:t>
      </w:r>
      <w:r w:rsidRPr="009B4856">
        <w:rPr>
          <w:rFonts w:eastAsia="Times New Roman"/>
          <w:color w:val="000000"/>
          <w:lang w:val="en-US"/>
        </w:rPr>
        <w:t>As noted by the quantitative analysis</w:t>
      </w:r>
      <w:r w:rsidR="00333D28" w:rsidRPr="009B4856">
        <w:rPr>
          <w:rFonts w:eastAsia="Times New Roman"/>
          <w:color w:val="000000"/>
          <w:lang w:val="en-US"/>
        </w:rPr>
        <w:t xml:space="preserve"> accompanying this report</w:t>
      </w:r>
      <w:r w:rsidRPr="009B4856">
        <w:rPr>
          <w:rFonts w:eastAsia="Times New Roman"/>
          <w:color w:val="000000"/>
          <w:lang w:val="en-US"/>
        </w:rPr>
        <w:t>, cultural awareness is one of the most often referenced concepts i</w:t>
      </w:r>
      <w:r w:rsidR="00333D28" w:rsidRPr="009B4856">
        <w:rPr>
          <w:rFonts w:eastAsia="Times New Roman"/>
          <w:color w:val="000000"/>
          <w:lang w:val="en-US"/>
        </w:rPr>
        <w:t>n the documents analyzed</w:t>
      </w:r>
      <w:r w:rsidR="00333D28" w:rsidRPr="00925B59">
        <w:rPr>
          <w:rFonts w:eastAsia="Times New Roman"/>
          <w:color w:val="000000"/>
          <w:lang w:val="en-US"/>
        </w:rPr>
        <w:t xml:space="preserve"> in the</w:t>
      </w:r>
      <w:r w:rsidRPr="00925B59">
        <w:rPr>
          <w:rFonts w:eastAsia="Times New Roman"/>
          <w:color w:val="000000"/>
          <w:lang w:val="en-US"/>
        </w:rPr>
        <w:t xml:space="preserve"> assessment.</w:t>
      </w:r>
      <w:r w:rsidRPr="00925B59">
        <w:rPr>
          <w:rStyle w:val="FootnoteReference"/>
          <w:rFonts w:eastAsia="Times New Roman"/>
          <w:color w:val="000000"/>
          <w:lang w:val="en-US"/>
        </w:rPr>
        <w:footnoteReference w:id="203"/>
      </w:r>
      <w:r w:rsidR="00B22ABB" w:rsidRPr="00925B59">
        <w:rPr>
          <w:rFonts w:eastAsia="Times New Roman"/>
          <w:color w:val="000000"/>
          <w:lang w:val="en-US"/>
        </w:rPr>
        <w:t xml:space="preserve"> </w:t>
      </w:r>
    </w:p>
    <w:p w14:paraId="7278FCAB" w14:textId="5C9B51E3" w:rsidR="00980658" w:rsidRPr="00D8359C" w:rsidRDefault="00980658" w:rsidP="00D8359C">
      <w:pPr>
        <w:widowControl w:val="0"/>
        <w:autoSpaceDE w:val="0"/>
        <w:autoSpaceDN w:val="0"/>
        <w:adjustRightInd w:val="0"/>
        <w:spacing w:after="240"/>
        <w:rPr>
          <w:rFonts w:ascii="Times" w:hAnsi="Times"/>
          <w:lang w:val="en-US"/>
        </w:rPr>
      </w:pPr>
      <w:r w:rsidRPr="005B2396">
        <w:t>Training programs and manuals can provide companies, researchers, and government</w:t>
      </w:r>
      <w:r w:rsidRPr="00925B59">
        <w:t xml:space="preserve"> officials with information about cross-cultural communication and sensitivity.</w:t>
      </w:r>
      <w:bookmarkStart w:id="80" w:name="_Ref334007126"/>
      <w:r w:rsidRPr="00925B59">
        <w:rPr>
          <w:rStyle w:val="FootnoteReference"/>
        </w:rPr>
        <w:footnoteReference w:id="204"/>
      </w:r>
      <w:bookmarkEnd w:id="80"/>
      <w:r w:rsidR="003A4CA0" w:rsidRPr="00925B59">
        <w:t xml:space="preserve"> Outside organizations </w:t>
      </w:r>
      <w:r w:rsidR="003A4CA0" w:rsidRPr="00925B59">
        <w:lastRenderedPageBreak/>
        <w:t xml:space="preserve">can also gain cultural awareness by spending time in the community and reviewing information about it, especially information that is created by the </w:t>
      </w:r>
      <w:r w:rsidR="00C95A84">
        <w:t>Indigenous</w:t>
      </w:r>
      <w:r w:rsidR="00FC63E1">
        <w:t xml:space="preserve"> Peoples</w:t>
      </w:r>
      <w:r w:rsidR="003A4CA0" w:rsidRPr="00925B59">
        <w:t xml:space="preserve"> themselves.</w:t>
      </w:r>
      <w:r w:rsidR="00410FBC">
        <w:rPr>
          <w:rStyle w:val="FootnoteReference"/>
        </w:rPr>
        <w:footnoteReference w:id="205"/>
      </w:r>
      <w:r w:rsidR="003767F7">
        <w:t xml:space="preserve"> </w:t>
      </w:r>
      <w:r w:rsidR="002C71BC">
        <w:t xml:space="preserve">The Assembly of Alaska Native Educators has created guidelines for respecting cultural knowledge, which apply to native elders, authors and illustrators, curriculum developers and administrators, educators, editors and </w:t>
      </w:r>
      <w:r w:rsidR="002C71BC" w:rsidRPr="002D10B2">
        <w:t xml:space="preserve">publishers, </w:t>
      </w:r>
      <w:r w:rsidR="002C71BC" w:rsidRPr="00B14A39">
        <w:t>document reviewers, researchers, native language specialists, native community organizations, and the general public.</w:t>
      </w:r>
      <w:r w:rsidR="002C71BC" w:rsidRPr="002D10B2">
        <w:rPr>
          <w:rStyle w:val="FootnoteReference"/>
        </w:rPr>
        <w:footnoteReference w:id="206"/>
      </w:r>
      <w:r w:rsidR="00547C68" w:rsidRPr="002D10B2">
        <w:t xml:space="preserve"> Indigenous Peoples also offer cultural workshops to educate outsiders.</w:t>
      </w:r>
      <w:r w:rsidR="00547C68" w:rsidRPr="002D10B2">
        <w:rPr>
          <w:rStyle w:val="FootnoteReference"/>
        </w:rPr>
        <w:footnoteReference w:id="207"/>
      </w:r>
      <w:r w:rsidR="001822D7" w:rsidRPr="002D10B2">
        <w:rPr>
          <w:rFonts w:eastAsia="Times New Roman"/>
          <w:color w:val="000000"/>
          <w:lang w:val="en-US"/>
        </w:rPr>
        <w:t xml:space="preserve"> </w:t>
      </w:r>
      <w:r w:rsidR="001822D7" w:rsidRPr="00B14A39">
        <w:rPr>
          <w:rFonts w:eastAsia="Times New Roman"/>
          <w:color w:val="000000"/>
          <w:lang w:val="en-US"/>
        </w:rPr>
        <w:t>Government policies can recommend that decision-makers become familiar with the Indigenous Peoples they will be working with, including their culture and history.</w:t>
      </w:r>
      <w:r w:rsidR="001822D7" w:rsidRPr="002D10B2">
        <w:rPr>
          <w:rStyle w:val="FootnoteReference"/>
          <w:rFonts w:eastAsia="Times New Roman"/>
          <w:color w:val="000000"/>
          <w:lang w:val="en-US"/>
        </w:rPr>
        <w:footnoteReference w:id="208"/>
      </w:r>
      <w:r w:rsidR="002D10B2" w:rsidRPr="002D10B2">
        <w:rPr>
          <w:rFonts w:eastAsia="Times New Roman"/>
          <w:color w:val="000000"/>
          <w:lang w:val="en-US"/>
        </w:rPr>
        <w:t xml:space="preserve"> </w:t>
      </w:r>
      <w:r w:rsidR="002D10B2" w:rsidRPr="00B14A39">
        <w:rPr>
          <w:rFonts w:eastAsia="Times New Roman"/>
          <w:color w:val="000000"/>
          <w:lang w:val="en-US"/>
        </w:rPr>
        <w:t>Bridging the divide between cultural differences can be challenging, because of the different approaches that cultures have to</w:t>
      </w:r>
      <w:r w:rsidR="002D10B2" w:rsidRPr="004476B7">
        <w:rPr>
          <w:rFonts w:eastAsia="Times New Roman"/>
          <w:color w:val="000000"/>
          <w:lang w:val="en-US"/>
        </w:rPr>
        <w:t xml:space="preserve"> appropriate ways to communicate, collaborate, gain knowledge, </w:t>
      </w:r>
      <w:r w:rsidR="002D10B2" w:rsidRPr="00C93CD3">
        <w:rPr>
          <w:rFonts w:eastAsia="Times New Roman"/>
          <w:color w:val="000000"/>
          <w:lang w:val="en-US"/>
        </w:rPr>
        <w:t>and become a meaningful contributor.</w:t>
      </w:r>
      <w:r w:rsidR="002D10B2" w:rsidRPr="002D10B2">
        <w:rPr>
          <w:rStyle w:val="FootnoteReference"/>
          <w:rFonts w:eastAsia="Times New Roman"/>
          <w:color w:val="000000"/>
          <w:lang w:val="en-US"/>
        </w:rPr>
        <w:footnoteReference w:id="209"/>
      </w:r>
      <w:r w:rsidR="002D10B2" w:rsidRPr="002D10B2">
        <w:rPr>
          <w:rFonts w:eastAsia="Times New Roman"/>
          <w:color w:val="000000"/>
          <w:lang w:val="en-US"/>
        </w:rPr>
        <w:t xml:space="preserve"> </w:t>
      </w:r>
      <w:r w:rsidR="002D10B2" w:rsidRPr="00B14A39">
        <w:rPr>
          <w:rFonts w:eastAsia="Times New Roman"/>
          <w:color w:val="000000"/>
          <w:lang w:val="en-US"/>
        </w:rPr>
        <w:t>“</w:t>
      </w:r>
      <w:r w:rsidR="002D10B2" w:rsidRPr="00B14A39">
        <w:rPr>
          <w:lang w:val="en-US"/>
        </w:rPr>
        <w:t>These differences exacerbate the more visible challenges for stakeholders such as flow of information; outcomes of collaborations at meetings; value and legitimacy of stakeholders’ knowledge; and when, where, and how meetings operate. Furthermore, divergent worldviews . . .and lack of understanding for each other’s epistemologies present substantial challenges for effective collaborations.”</w:t>
      </w:r>
      <w:r w:rsidR="002D10B2" w:rsidRPr="00B14A39">
        <w:rPr>
          <w:rStyle w:val="FootnoteReference"/>
          <w:lang w:val="en-US"/>
        </w:rPr>
        <w:footnoteReference w:id="210"/>
      </w:r>
      <w:r w:rsidR="002D10B2" w:rsidRPr="00B14A39">
        <w:rPr>
          <w:lang w:val="en-US"/>
        </w:rPr>
        <w:t xml:space="preserve"> Education, frequent, ongoing, and informal interaction, and co-produced research can help to bridge these divides.</w:t>
      </w:r>
      <w:r w:rsidR="002D10B2" w:rsidRPr="00B14A39">
        <w:rPr>
          <w:rStyle w:val="FootnoteReference"/>
          <w:lang w:val="en-US"/>
        </w:rPr>
        <w:footnoteReference w:id="211"/>
      </w:r>
      <w:r w:rsidR="002D10B2" w:rsidRPr="00B14A39">
        <w:rPr>
          <w:lang w:val="en-US"/>
        </w:rPr>
        <w:t xml:space="preserve"> </w:t>
      </w:r>
    </w:p>
    <w:p w14:paraId="12326692" w14:textId="5BCE4F5C" w:rsidR="006761CA" w:rsidRPr="00925B59" w:rsidRDefault="00F131A8" w:rsidP="00B12B13">
      <w:pPr>
        <w:widowControl w:val="0"/>
        <w:tabs>
          <w:tab w:val="left" w:pos="220"/>
          <w:tab w:val="left" w:pos="720"/>
        </w:tabs>
        <w:autoSpaceDE w:val="0"/>
        <w:autoSpaceDN w:val="0"/>
        <w:adjustRightInd w:val="0"/>
      </w:pPr>
      <w:r w:rsidRPr="00925B59">
        <w:t xml:space="preserve">Information can also be made more accessible by developing web-based </w:t>
      </w:r>
      <w:r w:rsidR="00903790" w:rsidRPr="00925B59">
        <w:t>databases</w:t>
      </w:r>
      <w:r w:rsidRPr="00925B59">
        <w:t xml:space="preserve"> that can include material about</w:t>
      </w:r>
      <w:r w:rsidR="00903790" w:rsidRPr="00925B59">
        <w:t xml:space="preserve"> laws related to </w:t>
      </w:r>
      <w:r w:rsidR="00C95A84">
        <w:t>Indigenous</w:t>
      </w:r>
      <w:r w:rsidR="00903790" w:rsidRPr="00925B59">
        <w:t xml:space="preserve"> rights, territory, and culture. In Canada, for example, the Aboriginal and Treaty Rights Information System (ATRIS) database has information organized by GIS and subject, and contains extensive information on national laws, treaties, </w:t>
      </w:r>
      <w:r w:rsidR="00C95A84">
        <w:t>Indigenous</w:t>
      </w:r>
      <w:r w:rsidR="00903790" w:rsidRPr="00925B59">
        <w:t xml:space="preserve"> policies and other information that is essential for engagement.</w:t>
      </w:r>
    </w:p>
    <w:p w14:paraId="5B121AC9" w14:textId="4DF06F0D" w:rsidR="00A20C0E" w:rsidRPr="007D7037" w:rsidRDefault="00A20C0E" w:rsidP="007D7037">
      <w:pPr>
        <w:pStyle w:val="Heading3"/>
        <w:numPr>
          <w:ilvl w:val="0"/>
          <w:numId w:val="25"/>
        </w:numPr>
        <w:rPr>
          <w:rFonts w:ascii="Times New Roman" w:hAnsi="Times New Roman" w:cs="Times New Roman"/>
          <w:b w:val="0"/>
          <w:color w:val="auto"/>
        </w:rPr>
      </w:pPr>
      <w:bookmarkStart w:id="81" w:name="_Toc334125710"/>
      <w:r w:rsidRPr="007D7037">
        <w:rPr>
          <w:rFonts w:ascii="Times New Roman" w:hAnsi="Times New Roman" w:cs="Times New Roman"/>
          <w:b w:val="0"/>
          <w:color w:val="auto"/>
        </w:rPr>
        <w:t>Transparen</w:t>
      </w:r>
      <w:r w:rsidR="00E548E1" w:rsidRPr="007D7037">
        <w:rPr>
          <w:rFonts w:ascii="Times New Roman" w:hAnsi="Times New Roman" w:cs="Times New Roman"/>
          <w:b w:val="0"/>
          <w:color w:val="auto"/>
        </w:rPr>
        <w:t>t</w:t>
      </w:r>
      <w:r w:rsidR="00551084" w:rsidRPr="007D7037">
        <w:rPr>
          <w:rFonts w:ascii="Times New Roman" w:hAnsi="Times New Roman" w:cs="Times New Roman"/>
          <w:b w:val="0"/>
          <w:color w:val="auto"/>
        </w:rPr>
        <w:t xml:space="preserve"> and adequate</w:t>
      </w:r>
      <w:r w:rsidR="00E548E1" w:rsidRPr="007D7037">
        <w:rPr>
          <w:rFonts w:ascii="Times New Roman" w:hAnsi="Times New Roman" w:cs="Times New Roman"/>
          <w:b w:val="0"/>
          <w:color w:val="auto"/>
        </w:rPr>
        <w:t>ly funded</w:t>
      </w:r>
      <w:bookmarkEnd w:id="81"/>
    </w:p>
    <w:p w14:paraId="50C4B228" w14:textId="77777777" w:rsidR="00A20C0E" w:rsidRPr="00925B59" w:rsidRDefault="00A20C0E" w:rsidP="00B12B13">
      <w:pPr>
        <w:widowControl w:val="0"/>
        <w:tabs>
          <w:tab w:val="left" w:pos="220"/>
          <w:tab w:val="left" w:pos="720"/>
        </w:tabs>
        <w:autoSpaceDE w:val="0"/>
        <w:autoSpaceDN w:val="0"/>
        <w:adjustRightInd w:val="0"/>
      </w:pPr>
    </w:p>
    <w:p w14:paraId="6E94FFA7" w14:textId="4C283A6F" w:rsidR="00B50427" w:rsidRPr="00925B59" w:rsidRDefault="001C303C" w:rsidP="00B12B13">
      <w:pPr>
        <w:widowControl w:val="0"/>
        <w:tabs>
          <w:tab w:val="left" w:pos="220"/>
          <w:tab w:val="left" w:pos="720"/>
        </w:tabs>
        <w:autoSpaceDE w:val="0"/>
        <w:autoSpaceDN w:val="0"/>
        <w:adjustRightInd w:val="0"/>
      </w:pPr>
      <w:r w:rsidRPr="00925B59">
        <w:t xml:space="preserve">When an organization proposes to conduct activities in the Arctic, it will typically provide </w:t>
      </w:r>
      <w:r w:rsidR="00C95A84">
        <w:t>Indigenous</w:t>
      </w:r>
      <w:r w:rsidR="00FC63E1">
        <w:t xml:space="preserve"> Peoples</w:t>
      </w:r>
      <w:r w:rsidRPr="00925B59">
        <w:t xml:space="preserve"> with</w:t>
      </w:r>
      <w:r w:rsidR="00947D5B" w:rsidRPr="00925B59">
        <w:t>, at a minimum,</w:t>
      </w:r>
      <w:r w:rsidRPr="00925B59">
        <w:t xml:space="preserve"> </w:t>
      </w:r>
      <w:r w:rsidR="00B50427" w:rsidRPr="00925B59">
        <w:t xml:space="preserve">a description of the activity, </w:t>
      </w:r>
      <w:r w:rsidR="00947D5B" w:rsidRPr="00925B59">
        <w:t xml:space="preserve">the purpose, </w:t>
      </w:r>
      <w:r w:rsidR="00B50427" w:rsidRPr="00925B59">
        <w:t xml:space="preserve">the location and people likely to be affected, the potential environmental, </w:t>
      </w:r>
      <w:r w:rsidR="00947D5B" w:rsidRPr="00925B59">
        <w:t xml:space="preserve">economic </w:t>
      </w:r>
      <w:r w:rsidR="00B50427" w:rsidRPr="00925B59">
        <w:t xml:space="preserve">social, and cultural </w:t>
      </w:r>
      <w:r w:rsidR="00B13EC9" w:rsidRPr="00925B59">
        <w:t xml:space="preserve">benefits and </w:t>
      </w:r>
      <w:r w:rsidR="00B50427" w:rsidRPr="00925B59">
        <w:t>impacts, and the proposed timeline for the project.</w:t>
      </w:r>
      <w:r w:rsidR="00B50427" w:rsidRPr="00925B59">
        <w:rPr>
          <w:rStyle w:val="FootnoteReference"/>
        </w:rPr>
        <w:footnoteReference w:id="212"/>
      </w:r>
      <w:r w:rsidR="00B50427" w:rsidRPr="00925B59">
        <w:t xml:space="preserve"> </w:t>
      </w:r>
      <w:r w:rsidR="00F1331A">
        <w:t>In addition to this information, r</w:t>
      </w:r>
      <w:r w:rsidR="002B3371" w:rsidRPr="00925B59">
        <w:t>esearchers can also provide data-gathering techniques, funding sources</w:t>
      </w:r>
      <w:r w:rsidR="009D0E74" w:rsidRPr="00925B59">
        <w:t>,</w:t>
      </w:r>
      <w:r w:rsidR="002B3371" w:rsidRPr="00925B59">
        <w:t xml:space="preserve"> and institutional affiliations.</w:t>
      </w:r>
      <w:r w:rsidR="002B3371" w:rsidRPr="00925B59">
        <w:rPr>
          <w:rStyle w:val="FootnoteReference"/>
        </w:rPr>
        <w:footnoteReference w:id="213"/>
      </w:r>
      <w:r w:rsidR="00216E4B" w:rsidRPr="00925B59">
        <w:t xml:space="preserve"> </w:t>
      </w:r>
      <w:r w:rsidR="00B50427" w:rsidRPr="00925B59">
        <w:t>The objective is to ensure that the information provided is “in sufficient form and detail to allow that party to prepare its views on the matter.”</w:t>
      </w:r>
      <w:r w:rsidR="00B50427" w:rsidRPr="00925B59">
        <w:rPr>
          <w:rStyle w:val="FootnoteReference"/>
        </w:rPr>
        <w:footnoteReference w:id="214"/>
      </w:r>
      <w:r w:rsidR="00B50427" w:rsidRPr="00925B59">
        <w:t xml:space="preserve"> </w:t>
      </w:r>
    </w:p>
    <w:p w14:paraId="6520A48C" w14:textId="77777777" w:rsidR="00B50427" w:rsidRPr="00925B59" w:rsidRDefault="00B50427" w:rsidP="00B12B13">
      <w:pPr>
        <w:widowControl w:val="0"/>
        <w:tabs>
          <w:tab w:val="left" w:pos="220"/>
          <w:tab w:val="left" w:pos="720"/>
        </w:tabs>
        <w:autoSpaceDE w:val="0"/>
        <w:autoSpaceDN w:val="0"/>
        <w:adjustRightInd w:val="0"/>
      </w:pPr>
    </w:p>
    <w:p w14:paraId="6129868F" w14:textId="44BF7A95" w:rsidR="00B50427" w:rsidRPr="00925B59" w:rsidRDefault="009C3177" w:rsidP="0098392C">
      <w:pPr>
        <w:widowControl w:val="0"/>
        <w:tabs>
          <w:tab w:val="left" w:pos="220"/>
          <w:tab w:val="left" w:pos="720"/>
        </w:tabs>
        <w:autoSpaceDE w:val="0"/>
        <w:autoSpaceDN w:val="0"/>
        <w:adjustRightInd w:val="0"/>
        <w:spacing w:after="266"/>
        <w:rPr>
          <w:lang w:val="en-US"/>
        </w:rPr>
      </w:pPr>
      <w:r w:rsidRPr="00925B59">
        <w:t>As PAME emphasizes, consultation should be open and transparent.</w:t>
      </w:r>
      <w:r w:rsidR="00FB4FCD" w:rsidRPr="00925B59">
        <w:rPr>
          <w:rStyle w:val="FootnoteReference"/>
        </w:rPr>
        <w:footnoteReference w:id="215"/>
      </w:r>
      <w:r w:rsidRPr="00925B59">
        <w:t xml:space="preserve"> Transparency includes candid disclosures.</w:t>
      </w:r>
      <w:r w:rsidR="00B50427" w:rsidRPr="00925B59">
        <w:t xml:space="preserve"> Thus, </w:t>
      </w:r>
      <w:r w:rsidR="009D0E74" w:rsidRPr="00925B59">
        <w:t xml:space="preserve">for example, </w:t>
      </w:r>
      <w:r w:rsidR="00C95A84">
        <w:t>Indigenous</w:t>
      </w:r>
      <w:r w:rsidR="00FC63E1">
        <w:t xml:space="preserve"> Peoples</w:t>
      </w:r>
      <w:r w:rsidR="00B50427" w:rsidRPr="00925B59">
        <w:t xml:space="preserve"> have requested that the government </w:t>
      </w:r>
      <w:r w:rsidR="00B50427" w:rsidRPr="00925B59">
        <w:lastRenderedPageBreak/>
        <w:t xml:space="preserve">provide all the information it has that </w:t>
      </w:r>
      <w:r w:rsidR="009D0E74" w:rsidRPr="00925B59">
        <w:t xml:space="preserve">both </w:t>
      </w:r>
      <w:r w:rsidR="00B50427" w:rsidRPr="00925B59">
        <w:t xml:space="preserve">supports </w:t>
      </w:r>
      <w:r w:rsidR="009D0E74" w:rsidRPr="00925B59">
        <w:t xml:space="preserve">and questions the </w:t>
      </w:r>
      <w:r w:rsidR="00B50427" w:rsidRPr="00925B59">
        <w:t xml:space="preserve">basis for </w:t>
      </w:r>
      <w:r w:rsidR="00E830E5" w:rsidRPr="00925B59">
        <w:t xml:space="preserve">granting approval for </w:t>
      </w:r>
      <w:r w:rsidR="002B3371" w:rsidRPr="00925B59">
        <w:t>a</w:t>
      </w:r>
      <w:r w:rsidR="00B50427" w:rsidRPr="00925B59">
        <w:t xml:space="preserve"> proposed project.</w:t>
      </w:r>
      <w:r w:rsidR="00B50427" w:rsidRPr="00925B59">
        <w:rPr>
          <w:rStyle w:val="FootnoteReference"/>
        </w:rPr>
        <w:footnoteReference w:id="216"/>
      </w:r>
      <w:r w:rsidR="00B50427" w:rsidRPr="00925B59">
        <w:t xml:space="preserve"> When </w:t>
      </w:r>
      <w:r w:rsidR="00567E2E">
        <w:t xml:space="preserve">organizations </w:t>
      </w:r>
      <w:r w:rsidR="00B50427" w:rsidRPr="00925B59">
        <w:t>provide full disclosures about the proposed activities and anticipated</w:t>
      </w:r>
      <w:r w:rsidR="00E32ADE" w:rsidRPr="00925B59">
        <w:t xml:space="preserve"> benefits and</w:t>
      </w:r>
      <w:r w:rsidR="00B50427" w:rsidRPr="00925B59">
        <w:t xml:space="preserve"> impacts, this mitigates the risk </w:t>
      </w:r>
      <w:r w:rsidR="00567E2E">
        <w:t xml:space="preserve">of misleading </w:t>
      </w:r>
      <w:r w:rsidR="00C95A84">
        <w:t>Indigenous</w:t>
      </w:r>
      <w:r w:rsidR="00FC63E1">
        <w:t xml:space="preserve"> Peoples</w:t>
      </w:r>
      <w:r w:rsidR="00567E2E">
        <w:t xml:space="preserve"> and communities</w:t>
      </w:r>
      <w:r w:rsidR="00B50427" w:rsidRPr="00925B59">
        <w:t xml:space="preserve">, </w:t>
      </w:r>
      <w:r w:rsidR="00622C9F" w:rsidRPr="00925B59">
        <w:t>which could damage</w:t>
      </w:r>
      <w:r w:rsidR="00B50427" w:rsidRPr="00925B59">
        <w:t xml:space="preserve"> long-term relationships.</w:t>
      </w:r>
      <w:r w:rsidR="00B50427" w:rsidRPr="00925B59">
        <w:rPr>
          <w:rStyle w:val="FootnoteReference"/>
        </w:rPr>
        <w:footnoteReference w:id="217"/>
      </w:r>
      <w:r w:rsidR="00567E2E">
        <w:t xml:space="preserve"> </w:t>
      </w:r>
      <w:r w:rsidR="00550D86">
        <w:t xml:space="preserve">Although few, if any, guidelines exist for environmental organizations operating in the Arctic, these entities can </w:t>
      </w:r>
      <w:r w:rsidR="00567E2E">
        <w:t xml:space="preserve">consider the </w:t>
      </w:r>
      <w:r w:rsidR="00876474" w:rsidRPr="00925B59">
        <w:t>commitment</w:t>
      </w:r>
      <w:r w:rsidR="00567E2E">
        <w:t xml:space="preserve">s made by </w:t>
      </w:r>
      <w:r w:rsidR="00550D86">
        <w:t xml:space="preserve">other parties as well as by </w:t>
      </w:r>
      <w:r w:rsidR="00567E2E">
        <w:t>environmental organizations in more general contexts. For example, Conservation International has committed</w:t>
      </w:r>
      <w:r w:rsidR="00876474" w:rsidRPr="00925B59">
        <w:t xml:space="preserve"> to engage </w:t>
      </w:r>
      <w:r w:rsidR="00C95A84">
        <w:rPr>
          <w:lang w:val="en-US"/>
        </w:rPr>
        <w:t>Indigenous</w:t>
      </w:r>
      <w:r w:rsidR="00876474" w:rsidRPr="00925B59">
        <w:rPr>
          <w:lang w:val="en-US"/>
        </w:rPr>
        <w:t xml:space="preserve"> communiti</w:t>
      </w:r>
      <w:r w:rsidR="00567E2E">
        <w:rPr>
          <w:lang w:val="en-US"/>
        </w:rPr>
        <w:t>es in a transparent, honest way and to</w:t>
      </w:r>
      <w:r w:rsidR="00876474" w:rsidRPr="00925B59">
        <w:rPr>
          <w:lang w:val="en-US"/>
        </w:rPr>
        <w:t xml:space="preserve"> directly info</w:t>
      </w:r>
      <w:r w:rsidR="00567E2E">
        <w:rPr>
          <w:lang w:val="en-US"/>
        </w:rPr>
        <w:t>rm</w:t>
      </w:r>
      <w:r w:rsidR="00876474" w:rsidRPr="00925B59">
        <w:rPr>
          <w:lang w:val="en-US"/>
        </w:rPr>
        <w:t xml:space="preserve"> others of its mission and primary emphasis on biodiversity conservation, so that there is </w:t>
      </w:r>
      <w:r w:rsidR="00E712C3" w:rsidRPr="00925B59">
        <w:rPr>
          <w:lang w:val="en-US"/>
        </w:rPr>
        <w:t>“</w:t>
      </w:r>
      <w:r w:rsidR="00876474" w:rsidRPr="00925B59">
        <w:rPr>
          <w:lang w:val="en-US"/>
        </w:rPr>
        <w:t>no misunderstanding about motives.</w:t>
      </w:r>
      <w:r w:rsidR="00E712C3" w:rsidRPr="00925B59">
        <w:rPr>
          <w:lang w:val="en-US"/>
        </w:rPr>
        <w:t>”</w:t>
      </w:r>
      <w:r w:rsidR="00876474" w:rsidRPr="00925B59">
        <w:rPr>
          <w:rStyle w:val="FootnoteReference"/>
          <w:lang w:val="en-US"/>
        </w:rPr>
        <w:footnoteReference w:id="218"/>
      </w:r>
      <w:r w:rsidR="00876474" w:rsidRPr="00925B59">
        <w:rPr>
          <w:lang w:val="en-US"/>
        </w:rPr>
        <w:t xml:space="preserve"> </w:t>
      </w:r>
      <w:r w:rsidR="00216E4B" w:rsidRPr="00925B59">
        <w:t xml:space="preserve">Additional information an organization can include is whether there is any funding available to support the </w:t>
      </w:r>
      <w:r w:rsidR="00C95A84">
        <w:t>Indigenous</w:t>
      </w:r>
      <w:r w:rsidR="00F1331A">
        <w:t xml:space="preserve"> group’s participation</w:t>
      </w:r>
      <w:r w:rsidR="00216E4B" w:rsidRPr="00925B59">
        <w:t>.</w:t>
      </w:r>
      <w:r w:rsidR="00216E4B" w:rsidRPr="00925B59">
        <w:rPr>
          <w:rStyle w:val="FootnoteReference"/>
        </w:rPr>
        <w:footnoteReference w:id="219"/>
      </w:r>
    </w:p>
    <w:p w14:paraId="7D02AA48" w14:textId="0720C8B6" w:rsidR="00833E37" w:rsidRPr="00925B59" w:rsidRDefault="00B50427" w:rsidP="00B12B13">
      <w:pPr>
        <w:widowControl w:val="0"/>
        <w:autoSpaceDE w:val="0"/>
        <w:autoSpaceDN w:val="0"/>
        <w:adjustRightInd w:val="0"/>
      </w:pPr>
      <w:r w:rsidRPr="00925B59">
        <w:t xml:space="preserve">Upon </w:t>
      </w:r>
      <w:r w:rsidR="00622C9F" w:rsidRPr="00925B59">
        <w:t>receiving this initial information about a proposed project,</w:t>
      </w:r>
      <w:r w:rsidRPr="00925B59">
        <w:t xml:space="preserve"> </w:t>
      </w:r>
      <w:r w:rsidR="00C95A84">
        <w:t>Indigenous</w:t>
      </w:r>
      <w:r w:rsidR="00FC63E1">
        <w:t xml:space="preserve"> Peoples</w:t>
      </w:r>
      <w:r w:rsidRPr="00925B59">
        <w:t xml:space="preserve"> </w:t>
      </w:r>
      <w:r w:rsidR="00C51B8D" w:rsidRPr="00925B59">
        <w:t xml:space="preserve">and communities </w:t>
      </w:r>
      <w:r w:rsidR="00092EC6">
        <w:t>can</w:t>
      </w:r>
      <w:r w:rsidRPr="00925B59">
        <w:t xml:space="preserve"> identify any additional information that will be needed to assess the full impacts</w:t>
      </w:r>
      <w:r w:rsidR="00955079" w:rsidRPr="00925B59">
        <w:t xml:space="preserve"> and potential benefits</w:t>
      </w:r>
      <w:r w:rsidR="00194BCC" w:rsidRPr="00925B59">
        <w:t xml:space="preserve">. </w:t>
      </w:r>
      <w:r w:rsidR="00C95A84">
        <w:t>Indigenous</w:t>
      </w:r>
      <w:r w:rsidR="00FC63E1">
        <w:t xml:space="preserve"> Peoples</w:t>
      </w:r>
      <w:r w:rsidRPr="00925B59">
        <w:t xml:space="preserve"> face ever-increasing demands to become engaged </w:t>
      </w:r>
      <w:r w:rsidR="00052CC7">
        <w:t xml:space="preserve">in activities </w:t>
      </w:r>
      <w:r w:rsidRPr="00925B59">
        <w:t>that range significantly in size, scope and comprehensiveness of required review.</w:t>
      </w:r>
      <w:r w:rsidRPr="00925B59">
        <w:rPr>
          <w:rStyle w:val="FootnoteReference"/>
        </w:rPr>
        <w:footnoteReference w:id="220"/>
      </w:r>
      <w:r w:rsidRPr="00925B59">
        <w:t xml:space="preserve"> For the engagement to be </w:t>
      </w:r>
      <w:r w:rsidR="00092EC6">
        <w:t xml:space="preserve">meaningful, </w:t>
      </w:r>
      <w:r w:rsidR="00C95A84">
        <w:t>Indigenous</w:t>
      </w:r>
      <w:r w:rsidR="00FC63E1">
        <w:t xml:space="preserve"> Peoples</w:t>
      </w:r>
      <w:r w:rsidR="00C31ED6" w:rsidRPr="00925B59">
        <w:t xml:space="preserve"> and communities</w:t>
      </w:r>
      <w:r w:rsidRPr="00925B59">
        <w:t xml:space="preserve"> must have sufficient capacity, including time, staff, and an ability to develop or assess information about the proposed activities.</w:t>
      </w:r>
      <w:r w:rsidRPr="00925B59">
        <w:rPr>
          <w:rStyle w:val="FootnoteReference"/>
        </w:rPr>
        <w:footnoteReference w:id="221"/>
      </w:r>
      <w:r w:rsidR="00194BCC" w:rsidRPr="00925B59">
        <w:t xml:space="preserve"> Thus, </w:t>
      </w:r>
      <w:r w:rsidR="00092EC6">
        <w:t xml:space="preserve">some </w:t>
      </w:r>
      <w:r w:rsidR="00C95A84">
        <w:t>Indigenous</w:t>
      </w:r>
      <w:r w:rsidR="00FC63E1">
        <w:t xml:space="preserve"> Peoples</w:t>
      </w:r>
      <w:r w:rsidRPr="00925B59">
        <w:t xml:space="preserve"> </w:t>
      </w:r>
      <w:r w:rsidR="00C51B8D" w:rsidRPr="00925B59">
        <w:t xml:space="preserve">and </w:t>
      </w:r>
      <w:r w:rsidR="00092EC6" w:rsidRPr="00925B59">
        <w:t>communities specifically</w:t>
      </w:r>
      <w:r w:rsidR="00C579DE" w:rsidRPr="00925B59">
        <w:t xml:space="preserve"> identify their capacity needs </w:t>
      </w:r>
      <w:r w:rsidR="00194BCC" w:rsidRPr="00925B59">
        <w:t xml:space="preserve">for the proposed project </w:t>
      </w:r>
      <w:r w:rsidR="00C579DE" w:rsidRPr="00925B59">
        <w:t>by creating</w:t>
      </w:r>
      <w:r w:rsidR="00194BCC" w:rsidRPr="00925B59">
        <w:t xml:space="preserve"> a </w:t>
      </w:r>
      <w:r w:rsidRPr="00925B59">
        <w:t>budget and plan for</w:t>
      </w:r>
      <w:r w:rsidR="00C579DE" w:rsidRPr="00925B59">
        <w:t xml:space="preserve"> developing</w:t>
      </w:r>
      <w:r w:rsidRPr="00925B59">
        <w:t xml:space="preserve"> information, including the time it will take for the </w:t>
      </w:r>
      <w:r w:rsidR="00C95A84">
        <w:t>Indigenous</w:t>
      </w:r>
      <w:r w:rsidRPr="00925B59">
        <w:t xml:space="preserve"> organization to provide a complete assessment of potential impacts to its interests or rights</w:t>
      </w:r>
      <w:r w:rsidR="00CC354E" w:rsidRPr="00925B59">
        <w:t xml:space="preserve"> and possible benefits and opportunities</w:t>
      </w:r>
      <w:r w:rsidRPr="00925B59">
        <w:t>.</w:t>
      </w:r>
      <w:r w:rsidR="00FC142F" w:rsidRPr="00925B59">
        <w:rPr>
          <w:rStyle w:val="FootnoteReference"/>
        </w:rPr>
        <w:footnoteReference w:id="222"/>
      </w:r>
      <w:r w:rsidR="00B31C6A" w:rsidRPr="00925B59">
        <w:t xml:space="preserve"> </w:t>
      </w:r>
      <w:r w:rsidR="00194BCC" w:rsidRPr="00925B59">
        <w:t xml:space="preserve">The budget </w:t>
      </w:r>
      <w:r w:rsidR="00092EC6">
        <w:t>will sometimes also</w:t>
      </w:r>
      <w:r w:rsidR="00194BCC" w:rsidRPr="00925B59">
        <w:t xml:space="preserve"> address</w:t>
      </w:r>
      <w:r w:rsidR="00B31C6A" w:rsidRPr="00925B59">
        <w:t xml:space="preserve"> additional costs, such as participation </w:t>
      </w:r>
      <w:r w:rsidR="00E712C3" w:rsidRPr="00925B59">
        <w:t>in environmental impact studies. Alternatively,</w:t>
      </w:r>
      <w:r w:rsidR="00194BCC" w:rsidRPr="00925B59">
        <w:t xml:space="preserve"> </w:t>
      </w:r>
      <w:r w:rsidR="0098392C" w:rsidRPr="00925B59">
        <w:t>budgets</w:t>
      </w:r>
      <w:r w:rsidR="00194BCC" w:rsidRPr="00925B59">
        <w:t xml:space="preserve"> for othe</w:t>
      </w:r>
      <w:r w:rsidR="00092EC6">
        <w:t>r costs of engagement are</w:t>
      </w:r>
      <w:r w:rsidR="00194BCC" w:rsidRPr="00925B59">
        <w:t xml:space="preserve"> developed </w:t>
      </w:r>
      <w:r w:rsidR="00B31C6A" w:rsidRPr="00925B59">
        <w:t>at a later point in time.</w:t>
      </w:r>
      <w:r w:rsidRPr="00925B59">
        <w:rPr>
          <w:rStyle w:val="FootnoteReference"/>
        </w:rPr>
        <w:footnoteReference w:id="223"/>
      </w:r>
      <w:r w:rsidRPr="00925B59">
        <w:t xml:space="preserve"> </w:t>
      </w:r>
      <w:r w:rsidR="00B31C6A" w:rsidRPr="00925B59">
        <w:t>It is important for all parties to understand that t</w:t>
      </w:r>
      <w:r w:rsidR="0049140D" w:rsidRPr="00925B59">
        <w:t>hese costs are not relat</w:t>
      </w:r>
      <w:r w:rsidR="00B31C6A" w:rsidRPr="00925B59">
        <w:t xml:space="preserve">ed to compensation for impacts nor are they access fees for permission to conduct activities on </w:t>
      </w:r>
      <w:r w:rsidR="00C95A84">
        <w:t>Indigenous</w:t>
      </w:r>
      <w:r w:rsidR="00B31C6A" w:rsidRPr="00925B59">
        <w:t xml:space="preserve"> lands.</w:t>
      </w:r>
      <w:r w:rsidR="00B846D0" w:rsidRPr="00925B59">
        <w:t xml:space="preserve"> </w:t>
      </w:r>
    </w:p>
    <w:p w14:paraId="6F76F59D" w14:textId="77777777" w:rsidR="00833E37" w:rsidRPr="00925B59" w:rsidRDefault="00833E37" w:rsidP="00B12B13">
      <w:pPr>
        <w:widowControl w:val="0"/>
        <w:autoSpaceDE w:val="0"/>
        <w:autoSpaceDN w:val="0"/>
        <w:adjustRightInd w:val="0"/>
      </w:pPr>
    </w:p>
    <w:p w14:paraId="52611FBA" w14:textId="10605678" w:rsidR="00F47016" w:rsidRDefault="0098392C" w:rsidP="00BE7165">
      <w:pPr>
        <w:widowControl w:val="0"/>
        <w:autoSpaceDE w:val="0"/>
        <w:autoSpaceDN w:val="0"/>
        <w:adjustRightInd w:val="0"/>
      </w:pPr>
      <w:r w:rsidRPr="00925B59">
        <w:t xml:space="preserve">Parties should ensure that adequate funding is available for </w:t>
      </w:r>
      <w:r w:rsidR="00C95A84">
        <w:t>Indigenous</w:t>
      </w:r>
      <w:r w:rsidR="00FC63E1">
        <w:t xml:space="preserve"> Peoples</w:t>
      </w:r>
      <w:r w:rsidRPr="00925B59">
        <w:t xml:space="preserve"> to </w:t>
      </w:r>
      <w:r w:rsidR="00E844E1">
        <w:t>participate fully</w:t>
      </w:r>
      <w:r w:rsidRPr="00925B59">
        <w:t>.</w:t>
      </w:r>
      <w:r w:rsidRPr="00925B59">
        <w:rPr>
          <w:rStyle w:val="FootnoteReference"/>
        </w:rPr>
        <w:footnoteReference w:id="224"/>
      </w:r>
      <w:r w:rsidRPr="00925B59">
        <w:t xml:space="preserve"> </w:t>
      </w:r>
      <w:r w:rsidR="009E3E78" w:rsidRPr="00925B59">
        <w:t xml:space="preserve">As the </w:t>
      </w:r>
      <w:proofErr w:type="spellStart"/>
      <w:r w:rsidR="009E3E78" w:rsidRPr="00925B59">
        <w:t>Hul’qumi’num</w:t>
      </w:r>
      <w:proofErr w:type="spellEnd"/>
      <w:r w:rsidR="009E3E78" w:rsidRPr="00925B59">
        <w:t xml:space="preserve"> First Nation explains, “the duty to consult and accommodate necessarily includes an obligation to ensure adequate and sustained funding” for </w:t>
      </w:r>
      <w:r w:rsidR="00C95A84">
        <w:t>Indigenous</w:t>
      </w:r>
      <w:r w:rsidR="00FC63E1">
        <w:t xml:space="preserve"> Peoples</w:t>
      </w:r>
      <w:r w:rsidR="009E3E78" w:rsidRPr="00925B59">
        <w:t xml:space="preserve"> to meaningfully participate.</w:t>
      </w:r>
      <w:r w:rsidR="009E3E78" w:rsidRPr="00925B59">
        <w:rPr>
          <w:rStyle w:val="FootnoteReference"/>
        </w:rPr>
        <w:footnoteReference w:id="225"/>
      </w:r>
      <w:r w:rsidR="009E3E78" w:rsidRPr="00925B59">
        <w:t xml:space="preserve"> </w:t>
      </w:r>
      <w:r w:rsidR="00745584">
        <w:t>However, the reality is that nearly everywhere, including at</w:t>
      </w:r>
      <w:r w:rsidR="00F47016">
        <w:t xml:space="preserve"> the Arctic Council, adequate funding is not always available for meaningful </w:t>
      </w:r>
      <w:r w:rsidR="00D536C3">
        <w:t>engagement</w:t>
      </w:r>
      <w:r w:rsidR="00F47016">
        <w:t>.</w:t>
      </w:r>
      <w:bookmarkStart w:id="82" w:name="_Ref334005868"/>
      <w:r w:rsidR="00F47016">
        <w:rPr>
          <w:rStyle w:val="FootnoteReference"/>
        </w:rPr>
        <w:footnoteReference w:id="226"/>
      </w:r>
      <w:bookmarkEnd w:id="82"/>
    </w:p>
    <w:p w14:paraId="0937062A" w14:textId="77777777" w:rsidR="00F47016" w:rsidRDefault="00F47016" w:rsidP="00BE7165">
      <w:pPr>
        <w:widowControl w:val="0"/>
        <w:autoSpaceDE w:val="0"/>
        <w:autoSpaceDN w:val="0"/>
        <w:adjustRightInd w:val="0"/>
      </w:pPr>
    </w:p>
    <w:p w14:paraId="0F30F850" w14:textId="730B07CC" w:rsidR="00B50427" w:rsidRPr="00925B59" w:rsidRDefault="00833E37" w:rsidP="00BE7165">
      <w:pPr>
        <w:widowControl w:val="0"/>
        <w:autoSpaceDE w:val="0"/>
        <w:autoSpaceDN w:val="0"/>
        <w:adjustRightInd w:val="0"/>
      </w:pPr>
      <w:r w:rsidRPr="00925B59">
        <w:lastRenderedPageBreak/>
        <w:t>O</w:t>
      </w:r>
      <w:r w:rsidR="00A57C31" w:rsidRPr="00925B59">
        <w:t>utside entities</w:t>
      </w:r>
      <w:r w:rsidR="00B50427" w:rsidRPr="00925B59">
        <w:t xml:space="preserve"> and </w:t>
      </w:r>
      <w:r w:rsidR="00C95A84">
        <w:t>Indigenous</w:t>
      </w:r>
      <w:r w:rsidR="00FC63E1">
        <w:t xml:space="preserve"> Peoples</w:t>
      </w:r>
      <w:r w:rsidR="00B50427" w:rsidRPr="00925B59">
        <w:t xml:space="preserve"> can work togeth</w:t>
      </w:r>
      <w:r w:rsidR="0049140D" w:rsidRPr="00925B59">
        <w:t xml:space="preserve">er to identify how to meet </w:t>
      </w:r>
      <w:r w:rsidR="00C95A84">
        <w:t>Indigenous</w:t>
      </w:r>
      <w:r w:rsidR="00FC63E1">
        <w:t xml:space="preserve"> Peoples</w:t>
      </w:r>
      <w:r w:rsidR="0049140D" w:rsidRPr="00925B59">
        <w:t>’ financial costs of engagement</w:t>
      </w:r>
      <w:r w:rsidR="00B50427" w:rsidRPr="00925B59">
        <w:t>.</w:t>
      </w:r>
      <w:r w:rsidR="00B50427" w:rsidRPr="00925B59">
        <w:rPr>
          <w:rStyle w:val="FootnoteReference"/>
        </w:rPr>
        <w:footnoteReference w:id="227"/>
      </w:r>
      <w:r w:rsidR="00B50427" w:rsidRPr="00925B59">
        <w:t xml:space="preserve"> For example, to make capacity building and technical advice as unbiased as possible, companies have placed funds in escrow accounts that communities can use to hire advisors of their choosing.</w:t>
      </w:r>
      <w:r w:rsidR="00B50427" w:rsidRPr="00925B59">
        <w:rPr>
          <w:rStyle w:val="FootnoteReference"/>
        </w:rPr>
        <w:footnoteReference w:id="228"/>
      </w:r>
      <w:r w:rsidR="005E616C" w:rsidRPr="00925B59">
        <w:t xml:space="preserve"> </w:t>
      </w:r>
      <w:r w:rsidR="00B50427" w:rsidRPr="00925B59">
        <w:t xml:space="preserve">Once their assessment is complete, </w:t>
      </w:r>
      <w:r w:rsidR="00C95A84">
        <w:t>Indigenous</w:t>
      </w:r>
      <w:r w:rsidR="00FC63E1">
        <w:t xml:space="preserve"> Peoples</w:t>
      </w:r>
      <w:r w:rsidR="00C51B8D" w:rsidRPr="00925B59">
        <w:t xml:space="preserve"> and communities</w:t>
      </w:r>
      <w:r w:rsidR="00B50427" w:rsidRPr="00925B59">
        <w:t xml:space="preserve"> </w:t>
      </w:r>
      <w:r w:rsidR="00BE7165" w:rsidRPr="00925B59">
        <w:t>can contribute to informed engagement by clearly outlining</w:t>
      </w:r>
      <w:r w:rsidR="00B50427" w:rsidRPr="00925B59">
        <w:t xml:space="preserve"> their views about the potential adverse impacts on </w:t>
      </w:r>
      <w:r w:rsidR="00C95A84">
        <w:t>Indigenous</w:t>
      </w:r>
      <w:r w:rsidR="00B50427" w:rsidRPr="00925B59">
        <w:t xml:space="preserve"> rights or interests</w:t>
      </w:r>
      <w:r w:rsidR="00A57C31" w:rsidRPr="00925B59">
        <w:t xml:space="preserve"> as well as the potential benefits and opportunities</w:t>
      </w:r>
      <w:r w:rsidR="00B50427" w:rsidRPr="00925B59">
        <w:t>.</w:t>
      </w:r>
      <w:r w:rsidR="00B50427" w:rsidRPr="00925B59">
        <w:rPr>
          <w:rStyle w:val="FootnoteReference"/>
        </w:rPr>
        <w:footnoteReference w:id="229"/>
      </w:r>
      <w:r w:rsidR="00B50427" w:rsidRPr="00925B59">
        <w:t xml:space="preserve"> </w:t>
      </w:r>
    </w:p>
    <w:p w14:paraId="64B2C5C4" w14:textId="77777777" w:rsidR="00B50427" w:rsidRPr="00925B59" w:rsidRDefault="00B50427" w:rsidP="00B12B13">
      <w:pPr>
        <w:widowControl w:val="0"/>
        <w:autoSpaceDE w:val="0"/>
        <w:autoSpaceDN w:val="0"/>
        <w:adjustRightInd w:val="0"/>
        <w:rPr>
          <w:color w:val="1A1718"/>
        </w:rPr>
      </w:pPr>
    </w:p>
    <w:p w14:paraId="2B023DDA" w14:textId="516A138C" w:rsidR="004B16D1" w:rsidRPr="00925B59" w:rsidRDefault="00B50427" w:rsidP="0040058A">
      <w:pPr>
        <w:widowControl w:val="0"/>
        <w:autoSpaceDE w:val="0"/>
        <w:autoSpaceDN w:val="0"/>
        <w:adjustRightInd w:val="0"/>
      </w:pPr>
      <w:r w:rsidRPr="00925B59">
        <w:t xml:space="preserve">Various legal obligations require government and </w:t>
      </w:r>
      <w:r w:rsidR="000B26FB">
        <w:t>companies</w:t>
      </w:r>
      <w:r w:rsidRPr="00925B59">
        <w:t xml:space="preserve"> to assess the potential impacts of proposed activities to </w:t>
      </w:r>
      <w:r w:rsidR="00C95A84">
        <w:t>Indigenous</w:t>
      </w:r>
      <w:r w:rsidR="00FC63E1">
        <w:t xml:space="preserve"> Peoples</w:t>
      </w:r>
      <w:r w:rsidRPr="00925B59">
        <w:t xml:space="preserve">. International standards also impose this obligation on </w:t>
      </w:r>
      <w:r w:rsidR="000B26FB">
        <w:t>companies</w:t>
      </w:r>
      <w:r w:rsidRPr="00925B59">
        <w:t>.</w:t>
      </w:r>
      <w:r w:rsidRPr="00925B59">
        <w:rPr>
          <w:rStyle w:val="FootnoteReference"/>
        </w:rPr>
        <w:footnoteReference w:id="230"/>
      </w:r>
      <w:r w:rsidRPr="00925B59">
        <w:t xml:space="preserve"> </w:t>
      </w:r>
      <w:r w:rsidR="0040058A" w:rsidRPr="00925B59">
        <w:t>These analyses may occur</w:t>
      </w:r>
      <w:r w:rsidR="004B16D1" w:rsidRPr="00925B59">
        <w:t>, for example,</w:t>
      </w:r>
      <w:r w:rsidR="0040058A" w:rsidRPr="00925B59">
        <w:t xml:space="preserve"> through Social Impact Assessments (SIAs). In Sweden, SIAs have emerged as part of the EIA process, in particular for projects that affect reindeer husbandry and S</w:t>
      </w:r>
      <w:r w:rsidR="00A57C31" w:rsidRPr="00925B59">
        <w:t>a</w:t>
      </w:r>
      <w:r w:rsidR="0040058A" w:rsidRPr="00925B59">
        <w:t>ami communities.</w:t>
      </w:r>
      <w:r w:rsidR="0040058A" w:rsidRPr="00925B59">
        <w:rPr>
          <w:rStyle w:val="FootnoteReference"/>
        </w:rPr>
        <w:footnoteReference w:id="231"/>
      </w:r>
      <w:r w:rsidR="0040058A" w:rsidRPr="00925B59">
        <w:t xml:space="preserve"> In Greenland, the Bureau of Mines and Petroleum has developed SIA guidelines for mining projects.</w:t>
      </w:r>
      <w:r w:rsidR="0040058A" w:rsidRPr="00925B59">
        <w:rPr>
          <w:rStyle w:val="FootnoteReference"/>
        </w:rPr>
        <w:footnoteReference w:id="232"/>
      </w:r>
      <w:r w:rsidR="0040058A" w:rsidRPr="00925B59">
        <w:t xml:space="preserve"> </w:t>
      </w:r>
      <w:r w:rsidR="006E3895">
        <w:t>In Canada, the government conducted a socio-economic assessment for proposed marine protected areas in the Beaufort Sea.</w:t>
      </w:r>
      <w:r w:rsidR="006E3895">
        <w:rPr>
          <w:rStyle w:val="FootnoteReference"/>
        </w:rPr>
        <w:footnoteReference w:id="233"/>
      </w:r>
      <w:r w:rsidR="006E3895">
        <w:t xml:space="preserve"> </w:t>
      </w:r>
      <w:r w:rsidR="00383FA4">
        <w:t>Organizations, governments, and Indigenous Peoples can refer to guidelines for Indigenous engagement in the EIA process.</w:t>
      </w:r>
      <w:r w:rsidR="00383FA4">
        <w:rPr>
          <w:rStyle w:val="FootnoteReference"/>
        </w:rPr>
        <w:footnoteReference w:id="234"/>
      </w:r>
    </w:p>
    <w:p w14:paraId="020F4106" w14:textId="16D844CC" w:rsidR="00A20C0E" w:rsidRPr="007D7037" w:rsidRDefault="00C95A84" w:rsidP="007D7037">
      <w:pPr>
        <w:pStyle w:val="Heading3"/>
        <w:numPr>
          <w:ilvl w:val="0"/>
          <w:numId w:val="22"/>
        </w:numPr>
        <w:rPr>
          <w:rFonts w:ascii="Times New Roman" w:hAnsi="Times New Roman" w:cs="Times New Roman"/>
          <w:b w:val="0"/>
          <w:color w:val="auto"/>
        </w:rPr>
      </w:pPr>
      <w:bookmarkStart w:id="83" w:name="_Toc334125711"/>
      <w:r w:rsidRPr="007D7037">
        <w:rPr>
          <w:rFonts w:ascii="Times New Roman" w:hAnsi="Times New Roman" w:cs="Times New Roman"/>
          <w:b w:val="0"/>
          <w:color w:val="auto"/>
        </w:rPr>
        <w:t>Indigenous</w:t>
      </w:r>
      <w:r w:rsidR="00FC63E1" w:rsidRPr="007D7037">
        <w:rPr>
          <w:rFonts w:ascii="Times New Roman" w:hAnsi="Times New Roman" w:cs="Times New Roman"/>
          <w:b w:val="0"/>
          <w:color w:val="auto"/>
        </w:rPr>
        <w:t xml:space="preserve"> Knowledge</w:t>
      </w:r>
      <w:r w:rsidR="00A20C0E" w:rsidRPr="007D7037">
        <w:rPr>
          <w:rFonts w:ascii="Times New Roman" w:hAnsi="Times New Roman" w:cs="Times New Roman"/>
          <w:b w:val="0"/>
          <w:color w:val="auto"/>
        </w:rPr>
        <w:t xml:space="preserve"> and community based monitoring</w:t>
      </w:r>
      <w:bookmarkEnd w:id="83"/>
    </w:p>
    <w:p w14:paraId="4E886D53" w14:textId="77777777" w:rsidR="00551084" w:rsidRPr="00925B59" w:rsidRDefault="00551084" w:rsidP="00551084">
      <w:pPr>
        <w:pStyle w:val="ListParagraph"/>
      </w:pPr>
    </w:p>
    <w:p w14:paraId="50129DEF" w14:textId="288FF545" w:rsidR="00383F95" w:rsidRPr="00925B59" w:rsidRDefault="00C95A84" w:rsidP="00383F95">
      <w:pPr>
        <w:rPr>
          <w:lang w:val="en-US"/>
        </w:rPr>
      </w:pPr>
      <w:r>
        <w:t>Indigenous</w:t>
      </w:r>
      <w:r w:rsidR="00FC63E1">
        <w:t xml:space="preserve"> Peoples</w:t>
      </w:r>
      <w:r w:rsidR="00383F95" w:rsidRPr="00925B59">
        <w:t xml:space="preserve"> and communities can strengthen self-governance and contribute significantly to information </w:t>
      </w:r>
      <w:r w:rsidR="00253511">
        <w:t>gathering and sharing</w:t>
      </w:r>
      <w:r w:rsidR="00383F95" w:rsidRPr="00925B59">
        <w:t xml:space="preserve"> by providing </w:t>
      </w:r>
      <w:r>
        <w:t>Indigenous</w:t>
      </w:r>
      <w:r w:rsidR="00FC63E1">
        <w:t xml:space="preserve"> Knowledge</w:t>
      </w:r>
      <w:r w:rsidR="00383F95" w:rsidRPr="00925B59">
        <w:t>, participating in the co-production of knowledge, and conducting community based monitoring.</w:t>
      </w:r>
      <w:r w:rsidR="00383F95" w:rsidRPr="00925B59">
        <w:rPr>
          <w:lang w:val="en-US"/>
        </w:rPr>
        <w:t xml:space="preserve"> </w:t>
      </w:r>
    </w:p>
    <w:p w14:paraId="55C22C74" w14:textId="77777777" w:rsidR="00383F95" w:rsidRPr="00925B59" w:rsidRDefault="00383F95" w:rsidP="00383F95">
      <w:pPr>
        <w:rPr>
          <w:lang w:val="en-US"/>
        </w:rPr>
      </w:pPr>
    </w:p>
    <w:p w14:paraId="1384F4D8" w14:textId="1CB8D626" w:rsidR="00A20C0E" w:rsidRPr="00925B59" w:rsidRDefault="00C95A84" w:rsidP="00383F95">
      <w:r>
        <w:t>Indigenous</w:t>
      </w:r>
      <w:r w:rsidR="00FC63E1">
        <w:t xml:space="preserve"> Knowledge</w:t>
      </w:r>
      <w:r w:rsidR="00496D54" w:rsidRPr="00925B59">
        <w:t xml:space="preserve"> is </w:t>
      </w:r>
      <w:r w:rsidR="00E548E1">
        <w:t>“</w:t>
      </w:r>
      <w:r w:rsidR="00496D54" w:rsidRPr="00925B59">
        <w:t xml:space="preserve">a systematic way of thinking and knowing that is elaborated and applied to phenomena across biological, physical, cultural and linguistic systems. It is owned by the holders of that knowledge, often collectively, and is uniquely expressed and transmitted through </w:t>
      </w:r>
      <w:r>
        <w:t>Indigenous</w:t>
      </w:r>
      <w:r w:rsidR="00496D54" w:rsidRPr="00925B59">
        <w:t xml:space="preserve"> languages. It is a body of knowledge generated through cultural practices, lived experiences including extensive and multigenerational observations, lessons and skills. It has been developed and verified over millennia and is still developing in a living process, </w:t>
      </w:r>
      <w:r w:rsidR="00496D54" w:rsidRPr="00925B59">
        <w:lastRenderedPageBreak/>
        <w:t>including knowledge acquired today and in the future, and it is passed on from generation to generation.</w:t>
      </w:r>
      <w:r w:rsidR="00E548E1">
        <w:t>”</w:t>
      </w:r>
      <w:r w:rsidR="00496D54" w:rsidRPr="00925B59">
        <w:rPr>
          <w:rStyle w:val="FootnoteReference"/>
        </w:rPr>
        <w:footnoteReference w:id="235"/>
      </w:r>
    </w:p>
    <w:p w14:paraId="4C595B85" w14:textId="77777777" w:rsidR="00C9232A" w:rsidRPr="00925B59" w:rsidRDefault="00C9232A" w:rsidP="0040058A"/>
    <w:p w14:paraId="72F14103" w14:textId="0393B0CD" w:rsidR="0054620E" w:rsidRDefault="00C95A84" w:rsidP="0054620E">
      <w:pPr>
        <w:pStyle w:val="CommentText"/>
      </w:pPr>
      <w:r>
        <w:rPr>
          <w:lang w:val="en-US"/>
        </w:rPr>
        <w:t>Indigenous</w:t>
      </w:r>
      <w:r w:rsidR="00FC63E1">
        <w:rPr>
          <w:lang w:val="en-US"/>
        </w:rPr>
        <w:t xml:space="preserve"> Knowledge</w:t>
      </w:r>
      <w:r w:rsidR="00BF76F2" w:rsidRPr="00925B59">
        <w:rPr>
          <w:lang w:val="en-US"/>
        </w:rPr>
        <w:t xml:space="preserve"> is valuable to resource management and science, and is increasingly </w:t>
      </w:r>
      <w:r w:rsidR="00D3190C">
        <w:rPr>
          <w:lang w:val="en-US"/>
        </w:rPr>
        <w:t>included in</w:t>
      </w:r>
      <w:r w:rsidR="00DD5550" w:rsidRPr="00925B59">
        <w:rPr>
          <w:lang w:val="en-US"/>
        </w:rPr>
        <w:t xml:space="preserve"> impact assessments </w:t>
      </w:r>
      <w:r w:rsidR="00DE6780" w:rsidRPr="00925B59">
        <w:rPr>
          <w:lang w:val="en-US"/>
        </w:rPr>
        <w:t xml:space="preserve">or other research and monitoring activities </w:t>
      </w:r>
      <w:r w:rsidR="00DD5550" w:rsidRPr="00925B59">
        <w:rPr>
          <w:lang w:val="en-US"/>
        </w:rPr>
        <w:t>through</w:t>
      </w:r>
      <w:r w:rsidR="00BF76F2" w:rsidRPr="00925B59">
        <w:rPr>
          <w:lang w:val="en-US"/>
        </w:rPr>
        <w:t xml:space="preserve"> law, policy, and research.</w:t>
      </w:r>
      <w:bookmarkStart w:id="84" w:name="_Ref333220277"/>
      <w:r w:rsidR="00BF76F2" w:rsidRPr="00925B59">
        <w:rPr>
          <w:rStyle w:val="FootnoteReference"/>
          <w:lang w:val="en-US"/>
        </w:rPr>
        <w:footnoteReference w:id="236"/>
      </w:r>
      <w:bookmarkEnd w:id="84"/>
      <w:r w:rsidR="00BF76F2" w:rsidRPr="00925B59">
        <w:rPr>
          <w:lang w:val="en-US"/>
        </w:rPr>
        <w:t xml:space="preserve"> </w:t>
      </w:r>
      <w:r w:rsidR="008C71A7" w:rsidRPr="00925B59">
        <w:rPr>
          <w:lang w:val="en-US"/>
        </w:rPr>
        <w:t xml:space="preserve">The importance of </w:t>
      </w:r>
      <w:r w:rsidR="00B5335B">
        <w:rPr>
          <w:lang w:val="en-US"/>
        </w:rPr>
        <w:t>Indigenous K</w:t>
      </w:r>
      <w:r w:rsidR="008C71A7" w:rsidRPr="00925B59">
        <w:rPr>
          <w:lang w:val="en-US"/>
        </w:rPr>
        <w:t xml:space="preserve">nowledge in </w:t>
      </w:r>
      <w:r>
        <w:rPr>
          <w:lang w:val="en-US"/>
        </w:rPr>
        <w:t>Indigenous</w:t>
      </w:r>
      <w:r w:rsidR="008C71A7" w:rsidRPr="00925B59">
        <w:rPr>
          <w:lang w:val="en-US"/>
        </w:rPr>
        <w:t xml:space="preserve"> engagem</w:t>
      </w:r>
      <w:r w:rsidR="002D52B1" w:rsidRPr="00925B59">
        <w:rPr>
          <w:lang w:val="en-US"/>
        </w:rPr>
        <w:t>ent</w:t>
      </w:r>
      <w:r w:rsidR="00D365C7" w:rsidRPr="00925B59">
        <w:rPr>
          <w:lang w:val="en-US"/>
        </w:rPr>
        <w:t xml:space="preserve"> is demonstrated by the finding</w:t>
      </w:r>
      <w:r w:rsidR="002D52B1" w:rsidRPr="00925B59">
        <w:rPr>
          <w:lang w:val="en-US"/>
        </w:rPr>
        <w:t xml:space="preserve"> </w:t>
      </w:r>
      <w:r w:rsidR="00D365C7" w:rsidRPr="00925B59">
        <w:rPr>
          <w:lang w:val="en-US"/>
        </w:rPr>
        <w:t xml:space="preserve">- </w:t>
      </w:r>
      <w:r w:rsidR="002D52B1" w:rsidRPr="00925B59">
        <w:rPr>
          <w:lang w:val="en-US"/>
        </w:rPr>
        <w:t>in the quantitative analysis</w:t>
      </w:r>
      <w:r w:rsidR="004B16D1" w:rsidRPr="00925B59">
        <w:rPr>
          <w:lang w:val="en-US"/>
        </w:rPr>
        <w:t xml:space="preserve"> </w:t>
      </w:r>
      <w:r w:rsidR="0026130A">
        <w:rPr>
          <w:lang w:val="en-US"/>
        </w:rPr>
        <w:t>performed for the MEMA project</w:t>
      </w:r>
      <w:r w:rsidR="00D365C7" w:rsidRPr="00925B59">
        <w:rPr>
          <w:lang w:val="en-US"/>
        </w:rPr>
        <w:t xml:space="preserve"> - </w:t>
      </w:r>
      <w:r w:rsidR="002D52B1" w:rsidRPr="00925B59">
        <w:rPr>
          <w:lang w:val="en-US"/>
        </w:rPr>
        <w:t xml:space="preserve">that </w:t>
      </w:r>
      <w:r w:rsidR="00B5335B">
        <w:rPr>
          <w:lang w:val="en-US"/>
        </w:rPr>
        <w:t>Indigenous K</w:t>
      </w:r>
      <w:r w:rsidR="002D52B1" w:rsidRPr="00925B59">
        <w:rPr>
          <w:lang w:val="en-US"/>
        </w:rPr>
        <w:t>nowledge was one of the most often cited elements addressed in the documents analyzed.</w:t>
      </w:r>
      <w:r w:rsidR="002D52B1" w:rsidRPr="00925B59">
        <w:rPr>
          <w:rStyle w:val="FootnoteReference"/>
          <w:lang w:val="en-US"/>
        </w:rPr>
        <w:footnoteReference w:id="237"/>
      </w:r>
      <w:r w:rsidR="00B5335B">
        <w:rPr>
          <w:lang w:val="en-US"/>
        </w:rPr>
        <w:t xml:space="preserve"> </w:t>
      </w:r>
    </w:p>
    <w:p w14:paraId="41E4AA1B" w14:textId="77777777" w:rsidR="0066054E" w:rsidRPr="00925B59" w:rsidRDefault="0066054E" w:rsidP="00DE6780">
      <w:pPr>
        <w:widowControl w:val="0"/>
        <w:autoSpaceDE w:val="0"/>
        <w:autoSpaceDN w:val="0"/>
        <w:adjustRightInd w:val="0"/>
        <w:rPr>
          <w:lang w:val="en-US"/>
        </w:rPr>
      </w:pPr>
    </w:p>
    <w:p w14:paraId="2DBA1007" w14:textId="2B8DD8FF" w:rsidR="006B1BA8" w:rsidRPr="00925B59" w:rsidRDefault="00BF76F2" w:rsidP="006D5C83">
      <w:pPr>
        <w:widowControl w:val="0"/>
        <w:tabs>
          <w:tab w:val="left" w:pos="220"/>
          <w:tab w:val="left" w:pos="720"/>
        </w:tabs>
        <w:autoSpaceDE w:val="0"/>
        <w:autoSpaceDN w:val="0"/>
        <w:adjustRightInd w:val="0"/>
        <w:spacing w:after="293"/>
        <w:rPr>
          <w:lang w:val="en-US"/>
        </w:rPr>
      </w:pPr>
      <w:r w:rsidRPr="00925B59">
        <w:rPr>
          <w:lang w:val="en-US"/>
        </w:rPr>
        <w:t>In Norway, scientific assessment must include experienced-based knowledge.</w:t>
      </w:r>
      <w:bookmarkStart w:id="85" w:name="_Ref334084506"/>
      <w:r w:rsidRPr="00925B59">
        <w:rPr>
          <w:rStyle w:val="FootnoteReference"/>
          <w:lang w:val="en-US"/>
        </w:rPr>
        <w:footnoteReference w:id="238"/>
      </w:r>
      <w:bookmarkEnd w:id="85"/>
      <w:r w:rsidRPr="00925B59">
        <w:rPr>
          <w:lang w:val="en-US"/>
        </w:rPr>
        <w:t xml:space="preserve"> </w:t>
      </w:r>
      <w:r w:rsidR="006B1BA8" w:rsidRPr="00925B59">
        <w:rPr>
          <w:lang w:val="en-US"/>
        </w:rPr>
        <w:t>Similarly, in the U</w:t>
      </w:r>
      <w:r w:rsidR="00686315" w:rsidRPr="00925B59">
        <w:rPr>
          <w:lang w:val="en-US"/>
        </w:rPr>
        <w:t>.</w:t>
      </w:r>
      <w:r w:rsidR="006B1BA8" w:rsidRPr="00925B59">
        <w:rPr>
          <w:lang w:val="en-US"/>
        </w:rPr>
        <w:t>S</w:t>
      </w:r>
      <w:r w:rsidR="00686315" w:rsidRPr="00925B59">
        <w:rPr>
          <w:lang w:val="en-US"/>
        </w:rPr>
        <w:t>.</w:t>
      </w:r>
      <w:r w:rsidR="006B1BA8" w:rsidRPr="00925B59">
        <w:rPr>
          <w:lang w:val="en-US"/>
        </w:rPr>
        <w:t xml:space="preserve">, legislation related to fisheries management in the North Pacific requires the consideration of </w:t>
      </w:r>
      <w:r w:rsidR="00B17B0A">
        <w:rPr>
          <w:lang w:val="en-US"/>
        </w:rPr>
        <w:t xml:space="preserve">Indigenous </w:t>
      </w:r>
      <w:r w:rsidR="00496A21">
        <w:rPr>
          <w:lang w:val="en-US"/>
        </w:rPr>
        <w:t>Knowledge</w:t>
      </w:r>
      <w:r w:rsidR="006B1BA8" w:rsidRPr="00925B59">
        <w:rPr>
          <w:lang w:val="en-US"/>
        </w:rPr>
        <w:t xml:space="preserve"> in management of the area.</w:t>
      </w:r>
      <w:r w:rsidR="006B1BA8" w:rsidRPr="00925B59">
        <w:rPr>
          <w:rStyle w:val="FootnoteReference"/>
          <w:lang w:val="en-US"/>
        </w:rPr>
        <w:footnoteReference w:id="239"/>
      </w:r>
      <w:r w:rsidR="003C25EA" w:rsidRPr="00925B59">
        <w:rPr>
          <w:lang w:val="en-US"/>
        </w:rPr>
        <w:t xml:space="preserve"> Department or agency-level consultation policies can also include specific g</w:t>
      </w:r>
      <w:r w:rsidR="006C4FD6" w:rsidRPr="00925B59">
        <w:rPr>
          <w:lang w:val="en-US"/>
        </w:rPr>
        <w:t xml:space="preserve">uidance on how to incorporate </w:t>
      </w:r>
      <w:r w:rsidR="00C95A84">
        <w:rPr>
          <w:lang w:val="en-US"/>
        </w:rPr>
        <w:t>Indigenous</w:t>
      </w:r>
      <w:r w:rsidR="00FC63E1">
        <w:rPr>
          <w:lang w:val="en-US"/>
        </w:rPr>
        <w:t xml:space="preserve"> Knowledge</w:t>
      </w:r>
      <w:r w:rsidR="003C25EA" w:rsidRPr="00925B59">
        <w:rPr>
          <w:lang w:val="en-US"/>
        </w:rPr>
        <w:t>.</w:t>
      </w:r>
      <w:r w:rsidR="003C25EA" w:rsidRPr="00925B59">
        <w:rPr>
          <w:rStyle w:val="FootnoteReference"/>
          <w:lang w:val="en-US"/>
        </w:rPr>
        <w:footnoteReference w:id="240"/>
      </w:r>
      <w:r w:rsidR="006C4FD6" w:rsidRPr="00925B59">
        <w:rPr>
          <w:lang w:val="en-US"/>
        </w:rPr>
        <w:t xml:space="preserve"> </w:t>
      </w:r>
      <w:r w:rsidR="007B3FE1" w:rsidRPr="00925B59">
        <w:rPr>
          <w:lang w:val="en-US"/>
        </w:rPr>
        <w:t xml:space="preserve">Conservation groups have committed to recognizing both </w:t>
      </w:r>
      <w:r w:rsidR="00B17B0A">
        <w:rPr>
          <w:lang w:val="en-US"/>
        </w:rPr>
        <w:t>Indigenous Knowledge</w:t>
      </w:r>
      <w:r w:rsidR="007B3FE1" w:rsidRPr="00925B59">
        <w:rPr>
          <w:lang w:val="en-US"/>
        </w:rPr>
        <w:t xml:space="preserve"> and the inappropriate uses of it, and to recognizing, respecting and protecting it.</w:t>
      </w:r>
      <w:r w:rsidR="007B3FE1" w:rsidRPr="00925B59">
        <w:rPr>
          <w:rStyle w:val="FootnoteReference"/>
          <w:lang w:val="en-US"/>
        </w:rPr>
        <w:footnoteReference w:id="241"/>
      </w:r>
      <w:r w:rsidR="00C076E0" w:rsidRPr="00925B59">
        <w:rPr>
          <w:lang w:val="en-US"/>
        </w:rPr>
        <w:t xml:space="preserve"> Guidelines for research address the use and protection of </w:t>
      </w:r>
      <w:r w:rsidR="00C95A84">
        <w:rPr>
          <w:lang w:val="en-US"/>
        </w:rPr>
        <w:t>Indigenous</w:t>
      </w:r>
      <w:r w:rsidR="00FC63E1">
        <w:rPr>
          <w:lang w:val="en-US"/>
        </w:rPr>
        <w:t xml:space="preserve"> Knowledge</w:t>
      </w:r>
      <w:r w:rsidR="00C076E0" w:rsidRPr="00925B59">
        <w:rPr>
          <w:lang w:val="en-US"/>
        </w:rPr>
        <w:t xml:space="preserve"> </w:t>
      </w:r>
      <w:r w:rsidR="002619E7" w:rsidRPr="00925B59">
        <w:rPr>
          <w:lang w:val="en-US"/>
        </w:rPr>
        <w:t>as well</w:t>
      </w:r>
      <w:r w:rsidR="00C076E0" w:rsidRPr="00925B59">
        <w:rPr>
          <w:lang w:val="en-US"/>
        </w:rPr>
        <w:t xml:space="preserve">, </w:t>
      </w:r>
      <w:r w:rsidR="002619E7" w:rsidRPr="00925B59">
        <w:rPr>
          <w:lang w:val="en-US"/>
        </w:rPr>
        <w:t>advising researcher</w:t>
      </w:r>
      <w:r w:rsidR="00B17B0A">
        <w:rPr>
          <w:lang w:val="en-US"/>
        </w:rPr>
        <w:t>s to use Indigenous K</w:t>
      </w:r>
      <w:r w:rsidR="002619E7" w:rsidRPr="00925B59">
        <w:rPr>
          <w:lang w:val="en-US"/>
        </w:rPr>
        <w:t>nowledge, respect confidentiality, and protect cultural and intellectual property.</w:t>
      </w:r>
      <w:r w:rsidR="002619E7" w:rsidRPr="00925B59">
        <w:rPr>
          <w:rStyle w:val="FootnoteReference"/>
          <w:lang w:val="en-US"/>
        </w:rPr>
        <w:footnoteReference w:id="242"/>
      </w:r>
    </w:p>
    <w:p w14:paraId="73228731" w14:textId="36964B4D" w:rsidR="006C4FD6" w:rsidRPr="00925B59" w:rsidRDefault="006C4FD6" w:rsidP="0040058A">
      <w:pPr>
        <w:rPr>
          <w:lang w:val="en-US"/>
        </w:rPr>
      </w:pPr>
      <w:r w:rsidRPr="00925B59">
        <w:rPr>
          <w:lang w:val="en-US"/>
        </w:rPr>
        <w:t xml:space="preserve">It is important for outside entities to understand that </w:t>
      </w:r>
      <w:r w:rsidR="00C95A84">
        <w:rPr>
          <w:lang w:val="en-US"/>
        </w:rPr>
        <w:t>Indigenous</w:t>
      </w:r>
      <w:r w:rsidR="00FC63E1">
        <w:rPr>
          <w:lang w:val="en-US"/>
        </w:rPr>
        <w:t xml:space="preserve"> Knowledge</w:t>
      </w:r>
      <w:r w:rsidRPr="00925B59">
        <w:rPr>
          <w:lang w:val="en-US"/>
        </w:rPr>
        <w:t xml:space="preserve"> is not a “data source.”</w:t>
      </w:r>
      <w:bookmarkStart w:id="86" w:name="_Ref334007187"/>
      <w:r w:rsidRPr="00925B59">
        <w:rPr>
          <w:rStyle w:val="FootnoteReference"/>
          <w:lang w:val="en-US"/>
        </w:rPr>
        <w:footnoteReference w:id="243"/>
      </w:r>
      <w:bookmarkEnd w:id="86"/>
      <w:r w:rsidRPr="00925B59">
        <w:rPr>
          <w:lang w:val="en-US"/>
        </w:rPr>
        <w:t xml:space="preserve"> Treating it as such takes it out of context and undermines its value.</w:t>
      </w:r>
      <w:r w:rsidRPr="00925B59">
        <w:rPr>
          <w:rStyle w:val="FootnoteReference"/>
          <w:lang w:val="en-US"/>
        </w:rPr>
        <w:footnoteReference w:id="244"/>
      </w:r>
      <w:r w:rsidRPr="00925B59">
        <w:rPr>
          <w:lang w:val="en-US"/>
        </w:rPr>
        <w:t xml:space="preserve"> Outside entities must “use caution in applying external frames of reference” in the analysis and interpretation of </w:t>
      </w:r>
      <w:r w:rsidR="00C95A84">
        <w:rPr>
          <w:lang w:val="en-US"/>
        </w:rPr>
        <w:t>Indigenous</w:t>
      </w:r>
      <w:r w:rsidR="00FC63E1">
        <w:rPr>
          <w:lang w:val="en-US"/>
        </w:rPr>
        <w:t xml:space="preserve"> Knowledge</w:t>
      </w:r>
      <w:r w:rsidRPr="00925B59">
        <w:rPr>
          <w:lang w:val="en-US"/>
        </w:rPr>
        <w:t>.</w:t>
      </w:r>
      <w:r w:rsidRPr="00925B59">
        <w:rPr>
          <w:rStyle w:val="FootnoteReference"/>
          <w:lang w:val="en-US"/>
        </w:rPr>
        <w:footnoteReference w:id="245"/>
      </w:r>
      <w:r w:rsidR="001F457F">
        <w:rPr>
          <w:lang w:val="en-US"/>
        </w:rPr>
        <w:t xml:space="preserve"> Indeed, through true partnership and co-production of knowledge, parties’ external frames of reference can be expanded and modified to limit bias and misunderstanding throughout the engagement process.</w:t>
      </w:r>
    </w:p>
    <w:p w14:paraId="1B1FEB0F" w14:textId="77777777" w:rsidR="006C4FD6" w:rsidRPr="00925B59" w:rsidRDefault="006C4FD6" w:rsidP="0040058A">
      <w:pPr>
        <w:rPr>
          <w:lang w:val="en-US"/>
        </w:rPr>
      </w:pPr>
    </w:p>
    <w:p w14:paraId="1EFC6BC6" w14:textId="46D39B95" w:rsidR="001D1F0C" w:rsidRPr="00925B59" w:rsidRDefault="00BF76F2" w:rsidP="0040058A">
      <w:pPr>
        <w:rPr>
          <w:lang w:val="en-US"/>
        </w:rPr>
      </w:pPr>
      <w:r w:rsidRPr="00925B59">
        <w:rPr>
          <w:lang w:val="en-US"/>
        </w:rPr>
        <w:t xml:space="preserve">Studies that are based on the co-production of knowledge, such as those that combine qualitative and quantitative research methods, can be a </w:t>
      </w:r>
      <w:r w:rsidR="00D3190C">
        <w:rPr>
          <w:lang w:val="en-US"/>
        </w:rPr>
        <w:t>successful way of includ</w:t>
      </w:r>
      <w:r w:rsidR="008B4A8F" w:rsidRPr="00925B59">
        <w:rPr>
          <w:lang w:val="en-US"/>
        </w:rPr>
        <w:t xml:space="preserve">ing </w:t>
      </w:r>
      <w:r w:rsidR="00C95A84">
        <w:rPr>
          <w:lang w:val="en-US"/>
        </w:rPr>
        <w:t>Indigenous</w:t>
      </w:r>
      <w:r w:rsidR="00FC63E1">
        <w:rPr>
          <w:lang w:val="en-US"/>
        </w:rPr>
        <w:t xml:space="preserve"> Knowledge</w:t>
      </w:r>
      <w:r w:rsidRPr="00925B59">
        <w:rPr>
          <w:lang w:val="en-US"/>
        </w:rPr>
        <w:t>.</w:t>
      </w:r>
      <w:r w:rsidRPr="00925B59">
        <w:rPr>
          <w:rStyle w:val="FootnoteReference"/>
          <w:lang w:val="en-US"/>
        </w:rPr>
        <w:footnoteReference w:id="246"/>
      </w:r>
      <w:r w:rsidRPr="00925B59">
        <w:rPr>
          <w:lang w:val="en-US"/>
        </w:rPr>
        <w:t xml:space="preserve"> </w:t>
      </w:r>
      <w:r w:rsidR="00A20C0E" w:rsidRPr="00925B59">
        <w:rPr>
          <w:lang w:val="en-US"/>
        </w:rPr>
        <w:t xml:space="preserve">To this end, </w:t>
      </w:r>
      <w:r w:rsidR="00901820" w:rsidRPr="00925B59">
        <w:t xml:space="preserve">EIAs and SIAs can be </w:t>
      </w:r>
      <w:r w:rsidR="00901820" w:rsidRPr="00925B59">
        <w:rPr>
          <w:color w:val="1D1D1D"/>
          <w:lang w:val="en-US"/>
        </w:rPr>
        <w:t xml:space="preserve">undertaken in cooperation with </w:t>
      </w:r>
      <w:r w:rsidR="00C95A84">
        <w:rPr>
          <w:color w:val="1D1D1D"/>
          <w:lang w:val="en-US"/>
        </w:rPr>
        <w:t>Indigenous</w:t>
      </w:r>
      <w:r w:rsidR="00FC63E1">
        <w:rPr>
          <w:color w:val="1D1D1D"/>
          <w:lang w:val="en-US"/>
        </w:rPr>
        <w:t xml:space="preserve"> </w:t>
      </w:r>
      <w:r w:rsidR="00FC63E1">
        <w:rPr>
          <w:color w:val="1D1D1D"/>
          <w:lang w:val="en-US"/>
        </w:rPr>
        <w:lastRenderedPageBreak/>
        <w:t>Peoples</w:t>
      </w:r>
      <w:r w:rsidR="00901820" w:rsidRPr="00925B59">
        <w:rPr>
          <w:color w:val="1D1D1D"/>
          <w:lang w:val="en-US"/>
        </w:rPr>
        <w:t>.</w:t>
      </w:r>
      <w:r w:rsidR="00901820" w:rsidRPr="00925B59">
        <w:rPr>
          <w:rStyle w:val="FootnoteReference"/>
          <w:color w:val="1D1D1D"/>
          <w:lang w:val="en-US"/>
        </w:rPr>
        <w:footnoteReference w:id="247"/>
      </w:r>
      <w:r w:rsidR="00901820" w:rsidRPr="00925B59">
        <w:rPr>
          <w:lang w:val="en-US"/>
        </w:rPr>
        <w:t xml:space="preserve"> For example, in the U.S., </w:t>
      </w:r>
      <w:r w:rsidR="00C95A84">
        <w:rPr>
          <w:lang w:val="en-US"/>
        </w:rPr>
        <w:t>Indigenous</w:t>
      </w:r>
      <w:r w:rsidR="00FC63E1">
        <w:rPr>
          <w:lang w:val="en-US"/>
        </w:rPr>
        <w:t xml:space="preserve"> Peoples</w:t>
      </w:r>
      <w:r w:rsidR="00901820" w:rsidRPr="00925B59">
        <w:rPr>
          <w:lang w:val="en-US"/>
        </w:rPr>
        <w:t xml:space="preserve"> can act as “cooperating agencies” in the environmental assessment process.</w:t>
      </w:r>
      <w:r w:rsidR="00901820" w:rsidRPr="00925B59">
        <w:rPr>
          <w:rStyle w:val="FootnoteReference"/>
          <w:lang w:val="en-US"/>
        </w:rPr>
        <w:footnoteReference w:id="248"/>
      </w:r>
      <w:r w:rsidR="00901820" w:rsidRPr="00925B59">
        <w:rPr>
          <w:lang w:val="en-US"/>
        </w:rPr>
        <w:t xml:space="preserve"> This status allows the </w:t>
      </w:r>
      <w:r w:rsidR="00C95A84">
        <w:rPr>
          <w:lang w:val="en-US"/>
        </w:rPr>
        <w:t>Indigenous</w:t>
      </w:r>
      <w:r w:rsidR="00901820" w:rsidRPr="00925B59">
        <w:rPr>
          <w:lang w:val="en-US"/>
        </w:rPr>
        <w:t xml:space="preserve"> entity the ability to provide input into the issues that will be assessed by the EIA, for developing information that will be included, and performing parts of the analysis.</w:t>
      </w:r>
      <w:r w:rsidR="00901820" w:rsidRPr="00925B59">
        <w:rPr>
          <w:rStyle w:val="FootnoteReference"/>
          <w:lang w:val="en-US"/>
        </w:rPr>
        <w:footnoteReference w:id="249"/>
      </w:r>
      <w:r w:rsidR="00901820" w:rsidRPr="00925B59">
        <w:rPr>
          <w:lang w:val="en-US"/>
        </w:rPr>
        <w:t xml:space="preserve"> </w:t>
      </w:r>
      <w:r w:rsidR="008B4A8F" w:rsidRPr="00925B59">
        <w:t xml:space="preserve">Similarly, in </w:t>
      </w:r>
      <w:r w:rsidR="00864888">
        <w:t xml:space="preserve">Sakha, </w:t>
      </w:r>
      <w:r w:rsidR="008B4A8F" w:rsidRPr="00925B59">
        <w:t xml:space="preserve">Russia, </w:t>
      </w:r>
      <w:r w:rsidR="00C95A84">
        <w:t>Indigenous</w:t>
      </w:r>
      <w:r w:rsidR="008B4A8F" w:rsidRPr="00925B59">
        <w:t xml:space="preserve"> representatives are included in the group who is responsible for collecting and reviewing information and preparing a report on potential effects.</w:t>
      </w:r>
      <w:r w:rsidR="008B4A8F" w:rsidRPr="00925B59">
        <w:rPr>
          <w:rStyle w:val="FootnoteReference"/>
        </w:rPr>
        <w:footnoteReference w:id="250"/>
      </w:r>
      <w:r w:rsidR="008B4A8F" w:rsidRPr="00925B59">
        <w:t xml:space="preserve"> </w:t>
      </w:r>
      <w:r w:rsidR="0040058A" w:rsidRPr="00925B59">
        <w:t xml:space="preserve">By incorporating </w:t>
      </w:r>
      <w:r w:rsidR="00C95A84">
        <w:t>Indigenous</w:t>
      </w:r>
      <w:r w:rsidR="00FC63E1">
        <w:t xml:space="preserve"> Peoples</w:t>
      </w:r>
      <w:r w:rsidR="0040058A" w:rsidRPr="00925B59">
        <w:t xml:space="preserve"> </w:t>
      </w:r>
      <w:r w:rsidR="00C51B8D" w:rsidRPr="00925B59">
        <w:t xml:space="preserve">and communities </w:t>
      </w:r>
      <w:r w:rsidR="0040058A" w:rsidRPr="00925B59">
        <w:t>at a</w:t>
      </w:r>
      <w:r w:rsidR="008B4A8F" w:rsidRPr="00925B59">
        <w:t xml:space="preserve">ll stages of the EIA process, </w:t>
      </w:r>
      <w:r w:rsidR="00C95A84">
        <w:t>Indigenous</w:t>
      </w:r>
      <w:r w:rsidR="00FC63E1">
        <w:t xml:space="preserve"> Knowledge</w:t>
      </w:r>
      <w:r w:rsidR="0040058A" w:rsidRPr="00925B59">
        <w:t xml:space="preserve"> can form part of the fabric of the analysis, rather than simply</w:t>
      </w:r>
      <w:r w:rsidR="004211D6">
        <w:t xml:space="preserve"> be</w:t>
      </w:r>
      <w:r w:rsidR="0040058A" w:rsidRPr="00925B59">
        <w:t xml:space="preserve"> i</w:t>
      </w:r>
      <w:r w:rsidR="008B4A8F" w:rsidRPr="00925B59">
        <w:t xml:space="preserve">ncorporated into the analysis. </w:t>
      </w:r>
      <w:r w:rsidR="006A5024">
        <w:t xml:space="preserve">More generally, </w:t>
      </w:r>
      <w:r w:rsidR="00C95A84">
        <w:t>Indigenous</w:t>
      </w:r>
      <w:r w:rsidR="00FC63E1">
        <w:t xml:space="preserve"> Knowledge</w:t>
      </w:r>
      <w:r w:rsidR="0055425C">
        <w:t xml:space="preserve"> is used in</w:t>
      </w:r>
      <w:r w:rsidR="006A5024">
        <w:t xml:space="preserve"> management through co-management organizations.</w:t>
      </w:r>
      <w:bookmarkStart w:id="87" w:name="_Ref334009750"/>
      <w:r w:rsidR="006A5024">
        <w:rPr>
          <w:rStyle w:val="FootnoteReference"/>
        </w:rPr>
        <w:footnoteReference w:id="251"/>
      </w:r>
      <w:bookmarkEnd w:id="87"/>
      <w:r w:rsidR="006A5024">
        <w:t xml:space="preserve"> </w:t>
      </w:r>
      <w:r w:rsidR="00330FEF" w:rsidRPr="00925B59">
        <w:t xml:space="preserve">The co-production of knowledge can also take place through the collaborative design and execution by scientists and </w:t>
      </w:r>
      <w:r w:rsidR="00C95A84">
        <w:t>Indigenous</w:t>
      </w:r>
      <w:r w:rsidR="00FC63E1">
        <w:t xml:space="preserve"> Peoples</w:t>
      </w:r>
      <w:r w:rsidR="00330FEF" w:rsidRPr="00925B59">
        <w:t xml:space="preserve"> of research studies.</w:t>
      </w:r>
    </w:p>
    <w:p w14:paraId="3001D8CB" w14:textId="77777777" w:rsidR="00AD29DB" w:rsidRPr="00925B59" w:rsidRDefault="00AD29DB" w:rsidP="00AD29DB"/>
    <w:p w14:paraId="51E6B531" w14:textId="3A10F540" w:rsidR="00AD29DB" w:rsidRPr="00DF7129" w:rsidRDefault="00DF7129" w:rsidP="00AD29DB">
      <w:pPr>
        <w:rPr>
          <w:rFonts w:eastAsia="Times New Roman"/>
          <w:color w:val="000000"/>
          <w:lang w:val="en-US"/>
        </w:rPr>
      </w:pPr>
      <w:r>
        <w:rPr>
          <w:rFonts w:eastAsia="Times New Roman"/>
          <w:color w:val="000000"/>
          <w:lang w:val="en-US"/>
        </w:rPr>
        <w:t>C</w:t>
      </w:r>
      <w:r w:rsidR="001E6A27">
        <w:rPr>
          <w:rFonts w:eastAsia="Times New Roman"/>
          <w:color w:val="000000"/>
          <w:lang w:val="en-US"/>
        </w:rPr>
        <w:t>ommunity based monitoring</w:t>
      </w:r>
      <w:r w:rsidR="00BC12C7">
        <w:rPr>
          <w:rFonts w:eastAsia="Times New Roman"/>
          <w:color w:val="000000"/>
          <w:lang w:val="en-US"/>
        </w:rPr>
        <w:t xml:space="preserve"> (CBM)</w:t>
      </w:r>
      <w:r w:rsidR="00BC78CF">
        <w:rPr>
          <w:rFonts w:eastAsia="Times New Roman"/>
          <w:color w:val="000000"/>
          <w:lang w:val="en-US"/>
        </w:rPr>
        <w:t>, which often draws on both Indigenous Knowledge and conventional scientific approaches, can inform government decision processes.</w:t>
      </w:r>
      <w:bookmarkStart w:id="88" w:name="_Ref333309033"/>
      <w:r w:rsidR="00BC78CF">
        <w:rPr>
          <w:rStyle w:val="FootnoteReference"/>
          <w:rFonts w:eastAsia="Times New Roman"/>
          <w:color w:val="000000"/>
          <w:lang w:val="en-US"/>
        </w:rPr>
        <w:footnoteReference w:id="252"/>
      </w:r>
      <w:bookmarkEnd w:id="88"/>
      <w:r w:rsidR="00AB307C">
        <w:rPr>
          <w:rFonts w:eastAsia="Times New Roman"/>
          <w:color w:val="000000"/>
          <w:lang w:val="en-US"/>
        </w:rPr>
        <w:t xml:space="preserve"> </w:t>
      </w:r>
      <w:r w:rsidR="00AD29DB" w:rsidRPr="00925B59">
        <w:t xml:space="preserve">For example, </w:t>
      </w:r>
      <w:r w:rsidR="00AD29DB" w:rsidRPr="00925B59">
        <w:rPr>
          <w:lang w:val="en-US"/>
        </w:rPr>
        <w:t>Yukon River Inter-Tribal Watershed Council</w:t>
      </w:r>
      <w:r w:rsidR="00AD29DB" w:rsidRPr="00925B59">
        <w:t xml:space="preserve"> operates the </w:t>
      </w:r>
      <w:r w:rsidR="00AD29DB" w:rsidRPr="00925B59">
        <w:rPr>
          <w:lang w:val="en-US"/>
        </w:rPr>
        <w:t xml:space="preserve">largest </w:t>
      </w:r>
      <w:r w:rsidR="00C95A84">
        <w:rPr>
          <w:lang w:val="en-US"/>
        </w:rPr>
        <w:t>Indigenous</w:t>
      </w:r>
      <w:r w:rsidR="00AD29DB" w:rsidRPr="00925B59">
        <w:rPr>
          <w:lang w:val="en-US"/>
        </w:rPr>
        <w:t xml:space="preserve"> international monitoring network in the world, collecting water quality data at over fifty sites along the River.</w:t>
      </w:r>
      <w:bookmarkStart w:id="89" w:name="_Ref334009876"/>
      <w:r w:rsidR="00AD29DB" w:rsidRPr="00925B59">
        <w:rPr>
          <w:rStyle w:val="FootnoteReference"/>
          <w:lang w:val="en-US"/>
        </w:rPr>
        <w:footnoteReference w:id="253"/>
      </w:r>
      <w:bookmarkEnd w:id="89"/>
      <w:r w:rsidR="00AD29DB" w:rsidRPr="00925B59">
        <w:rPr>
          <w:lang w:val="en-US"/>
        </w:rPr>
        <w:t xml:space="preserve"> Although </w:t>
      </w:r>
      <w:r w:rsidR="00AD29DB" w:rsidRPr="00925B59">
        <w:t xml:space="preserve">the </w:t>
      </w:r>
      <w:r w:rsidR="007E2055" w:rsidRPr="00925B59">
        <w:t xml:space="preserve">Watershed </w:t>
      </w:r>
      <w:r w:rsidR="00AD29DB" w:rsidRPr="00925B59">
        <w:t>Council does not have sta</w:t>
      </w:r>
      <w:r w:rsidR="001E6A27">
        <w:t>tutory authority to help manage</w:t>
      </w:r>
      <w:r w:rsidR="00AD29DB" w:rsidRPr="00925B59">
        <w:t xml:space="preserve"> the watershed, they possess the majority of information about water quality, which provides them “</w:t>
      </w:r>
      <w:r w:rsidR="00AD29DB" w:rsidRPr="00925B59">
        <w:rPr>
          <w:lang w:val="en-US"/>
        </w:rPr>
        <w:t>capacity to become critical governance partners.”</w:t>
      </w:r>
      <w:r w:rsidR="00AD29DB" w:rsidRPr="00925B59">
        <w:rPr>
          <w:rStyle w:val="FootnoteReference"/>
        </w:rPr>
        <w:footnoteReference w:id="254"/>
      </w:r>
      <w:r w:rsidR="001B2C31">
        <w:rPr>
          <w:lang w:val="en-US"/>
        </w:rPr>
        <w:t xml:space="preserve"> The </w:t>
      </w:r>
      <w:proofErr w:type="gramStart"/>
      <w:r w:rsidR="001B2C31">
        <w:t>AACA(</w:t>
      </w:r>
      <w:proofErr w:type="gramEnd"/>
      <w:r w:rsidR="001B2C31">
        <w:t xml:space="preserve">a) notes that </w:t>
      </w:r>
      <w:r w:rsidR="00AD29DB" w:rsidRPr="00925B59">
        <w:t xml:space="preserve">community based </w:t>
      </w:r>
      <w:r w:rsidR="006723D4" w:rsidRPr="00925B59">
        <w:t xml:space="preserve">monitoring </w:t>
      </w:r>
      <w:r w:rsidR="006723D4" w:rsidRPr="00925B59">
        <w:rPr>
          <w:rFonts w:eastAsia="Times New Roman"/>
          <w:color w:val="000000"/>
          <w:lang w:val="en-US"/>
        </w:rPr>
        <w:t>can</w:t>
      </w:r>
      <w:r w:rsidR="001B2C31">
        <w:rPr>
          <w:rFonts w:eastAsia="Times New Roman"/>
          <w:color w:val="000000"/>
          <w:lang w:val="en-US"/>
        </w:rPr>
        <w:t xml:space="preserve"> </w:t>
      </w:r>
      <w:r w:rsidR="00AD29DB" w:rsidRPr="00925B59">
        <w:rPr>
          <w:rFonts w:eastAsia="Times New Roman"/>
          <w:color w:val="000000"/>
          <w:lang w:val="en-US"/>
        </w:rPr>
        <w:t>encour</w:t>
      </w:r>
      <w:r w:rsidR="001B2C31">
        <w:rPr>
          <w:rFonts w:eastAsia="Times New Roman"/>
          <w:color w:val="000000"/>
          <w:lang w:val="en-US"/>
        </w:rPr>
        <w:t xml:space="preserve">age people to use Indigenous </w:t>
      </w:r>
      <w:r w:rsidR="00AD29DB" w:rsidRPr="00925B59">
        <w:rPr>
          <w:rFonts w:eastAsia="Times New Roman"/>
          <w:color w:val="000000"/>
          <w:lang w:val="en-US"/>
        </w:rPr>
        <w:t xml:space="preserve">knowledge, </w:t>
      </w:r>
      <w:r w:rsidR="001B2C31">
        <w:rPr>
          <w:rFonts w:eastAsia="Times New Roman"/>
          <w:color w:val="000000"/>
          <w:lang w:val="en-US"/>
        </w:rPr>
        <w:t>“</w:t>
      </w:r>
      <w:r w:rsidR="00AD29DB" w:rsidRPr="00925B59">
        <w:rPr>
          <w:rFonts w:eastAsia="Times New Roman"/>
          <w:color w:val="000000"/>
          <w:lang w:val="en-US"/>
        </w:rPr>
        <w:t>which helps to promote a sense of ownership and control over consequences of the use of their environment.”</w:t>
      </w:r>
      <w:r w:rsidR="00AD29DB" w:rsidRPr="00925B59">
        <w:rPr>
          <w:rStyle w:val="FootnoteReference"/>
          <w:rFonts w:eastAsia="Times New Roman"/>
          <w:color w:val="000000"/>
          <w:lang w:val="en-US"/>
        </w:rPr>
        <w:footnoteReference w:id="255"/>
      </w:r>
      <w:r w:rsidR="00AD29DB" w:rsidRPr="00925B59">
        <w:rPr>
          <w:rFonts w:eastAsia="Times New Roman"/>
          <w:color w:val="000000"/>
          <w:lang w:val="en-US"/>
        </w:rPr>
        <w:t xml:space="preserve"> </w:t>
      </w:r>
      <w:r w:rsidR="00A84C57">
        <w:rPr>
          <w:rFonts w:eastAsia="Times New Roman"/>
          <w:color w:val="000000"/>
          <w:lang w:val="en-US"/>
        </w:rPr>
        <w:t>CBM</w:t>
      </w:r>
      <w:r w:rsidR="00D57B65">
        <w:rPr>
          <w:rFonts w:eastAsia="Times New Roman"/>
          <w:color w:val="000000"/>
          <w:lang w:val="en-US"/>
        </w:rPr>
        <w:t xml:space="preserve"> </w:t>
      </w:r>
      <w:r w:rsidR="00FA0E10">
        <w:rPr>
          <w:rFonts w:eastAsia="Times New Roman"/>
          <w:color w:val="000000"/>
          <w:lang w:val="en-US"/>
        </w:rPr>
        <w:t xml:space="preserve">also </w:t>
      </w:r>
      <w:r w:rsidR="00D57B65">
        <w:rPr>
          <w:rFonts w:eastAsia="Times New Roman"/>
          <w:color w:val="000000"/>
          <w:lang w:val="en-US"/>
        </w:rPr>
        <w:t>provides a long-</w:t>
      </w:r>
      <w:r w:rsidR="00BC12C7">
        <w:rPr>
          <w:rFonts w:eastAsia="Times New Roman"/>
          <w:color w:val="000000"/>
          <w:lang w:val="en-US"/>
        </w:rPr>
        <w:t>term approach to monitoring</w:t>
      </w:r>
      <w:r w:rsidR="00D57B65">
        <w:rPr>
          <w:rFonts w:eastAsia="Times New Roman"/>
          <w:color w:val="000000"/>
          <w:lang w:val="en-US"/>
        </w:rPr>
        <w:t xml:space="preserve"> that can provide cost effective, </w:t>
      </w:r>
      <w:r w:rsidR="00D57B65">
        <w:t>consistent and seasonal time-series data. Arctic Indigenous Peoples’ understanding of environmental dynamics over time, ability to observe subtle environmental indicators, and familiarity with animal behavior and population dynamics provide an important basis for successful CBM efforts.</w:t>
      </w:r>
      <w:r w:rsidR="00D57B65">
        <w:rPr>
          <w:rStyle w:val="FootnoteReference"/>
        </w:rPr>
        <w:footnoteReference w:id="256"/>
      </w:r>
      <w:r w:rsidR="004D5CC8">
        <w:rPr>
          <w:rFonts w:eastAsia="Times New Roman"/>
          <w:color w:val="000000"/>
          <w:lang w:val="en-US"/>
        </w:rPr>
        <w:t xml:space="preserve"> </w:t>
      </w:r>
      <w:r w:rsidR="00AD29DB" w:rsidRPr="00925B59">
        <w:rPr>
          <w:rFonts w:eastAsia="Times New Roman"/>
          <w:color w:val="000000"/>
          <w:lang w:val="en-US"/>
        </w:rPr>
        <w:t xml:space="preserve">Manuals </w:t>
      </w:r>
      <w:r w:rsidR="003F715A">
        <w:rPr>
          <w:rFonts w:eastAsia="Times New Roman"/>
          <w:color w:val="000000"/>
          <w:lang w:val="en-US"/>
        </w:rPr>
        <w:t>and pilot projects</w:t>
      </w:r>
      <w:r w:rsidR="003F715A" w:rsidRPr="00925B59">
        <w:rPr>
          <w:rFonts w:eastAsia="Times New Roman"/>
          <w:color w:val="000000"/>
          <w:lang w:val="en-US"/>
        </w:rPr>
        <w:t xml:space="preserve"> </w:t>
      </w:r>
      <w:r w:rsidR="00AD29DB" w:rsidRPr="00925B59">
        <w:rPr>
          <w:rFonts w:eastAsia="Times New Roman"/>
          <w:color w:val="000000"/>
          <w:lang w:val="en-US"/>
        </w:rPr>
        <w:t xml:space="preserve">can support </w:t>
      </w:r>
      <w:r w:rsidR="00C95A84">
        <w:rPr>
          <w:rFonts w:eastAsia="Times New Roman"/>
          <w:color w:val="000000"/>
          <w:lang w:val="en-US"/>
        </w:rPr>
        <w:t>Indigenous</w:t>
      </w:r>
      <w:r w:rsidR="00FC63E1">
        <w:rPr>
          <w:rFonts w:eastAsia="Times New Roman"/>
          <w:color w:val="000000"/>
          <w:lang w:val="en-US"/>
        </w:rPr>
        <w:t xml:space="preserve"> Peoples</w:t>
      </w:r>
      <w:r w:rsidR="00AD29DB" w:rsidRPr="00925B59">
        <w:rPr>
          <w:rFonts w:eastAsia="Times New Roman"/>
          <w:color w:val="000000"/>
          <w:lang w:val="en-US"/>
        </w:rPr>
        <w:t>’ efforts to engage in community based monitoring</w:t>
      </w:r>
      <w:r w:rsidR="003F715A">
        <w:rPr>
          <w:rFonts w:eastAsia="Times New Roman"/>
          <w:color w:val="000000"/>
          <w:lang w:val="en-US"/>
        </w:rPr>
        <w:t>.</w:t>
      </w:r>
      <w:r w:rsidR="00AD29DB" w:rsidRPr="00925B59">
        <w:rPr>
          <w:rStyle w:val="FootnoteReference"/>
          <w:rFonts w:eastAsia="Times New Roman"/>
          <w:color w:val="000000"/>
          <w:lang w:val="en-US"/>
        </w:rPr>
        <w:footnoteReference w:id="257"/>
      </w:r>
      <w:r w:rsidR="003F715A">
        <w:rPr>
          <w:rFonts w:eastAsia="Times New Roman"/>
          <w:color w:val="000000"/>
          <w:lang w:val="en-US"/>
        </w:rPr>
        <w:t xml:space="preserve"> </w:t>
      </w:r>
      <w:r w:rsidR="00482538" w:rsidRPr="00925B59">
        <w:rPr>
          <w:lang w:val="en-US"/>
        </w:rPr>
        <w:t xml:space="preserve">The Arctic Council Arctic Marine Strategic Plans (2004 and 2015) </w:t>
      </w:r>
      <w:r w:rsidR="00482538" w:rsidRPr="00925B59">
        <w:rPr>
          <w:lang w:val="en-US"/>
        </w:rPr>
        <w:lastRenderedPageBreak/>
        <w:t xml:space="preserve">recommend that the Arctic Council </w:t>
      </w:r>
      <w:r w:rsidR="00482538" w:rsidRPr="00925B59">
        <w:rPr>
          <w:rFonts w:eastAsia="Times New Roman"/>
          <w:color w:val="000000"/>
          <w:lang w:val="en-US"/>
        </w:rPr>
        <w:t>enhance local involvement in the collection of information and monitoring.</w:t>
      </w:r>
      <w:r w:rsidR="00482538" w:rsidRPr="00925B59">
        <w:rPr>
          <w:rStyle w:val="FootnoteReference"/>
          <w:rFonts w:eastAsia="Times New Roman"/>
          <w:color w:val="000000"/>
          <w:lang w:val="en-US"/>
        </w:rPr>
        <w:footnoteReference w:id="258"/>
      </w:r>
    </w:p>
    <w:p w14:paraId="1AC203A7" w14:textId="77777777" w:rsidR="00AD29DB" w:rsidRPr="00925B59" w:rsidRDefault="00AD29DB" w:rsidP="00AD29DB">
      <w:pPr>
        <w:rPr>
          <w:lang w:val="en-US"/>
        </w:rPr>
      </w:pPr>
    </w:p>
    <w:p w14:paraId="2012D1E5" w14:textId="5B0494D7" w:rsidR="00AD29DB" w:rsidRPr="00915C44" w:rsidRDefault="00AD29DB" w:rsidP="00AD29DB">
      <w:pPr>
        <w:rPr>
          <w:rFonts w:eastAsia="Times New Roman"/>
          <w:color w:val="000000"/>
          <w:lang w:val="en-US"/>
        </w:rPr>
      </w:pPr>
      <w:r w:rsidRPr="00925B59">
        <w:rPr>
          <w:lang w:val="en-US"/>
        </w:rPr>
        <w:t xml:space="preserve">Community mapping is another way </w:t>
      </w:r>
      <w:r w:rsidR="00C95A84">
        <w:rPr>
          <w:lang w:val="en-US"/>
        </w:rPr>
        <w:t>Indigenous</w:t>
      </w:r>
      <w:r w:rsidR="00FC63E1">
        <w:rPr>
          <w:lang w:val="en-US"/>
        </w:rPr>
        <w:t xml:space="preserve"> Peoples</w:t>
      </w:r>
      <w:r w:rsidRPr="00925B59">
        <w:rPr>
          <w:lang w:val="en-US"/>
        </w:rPr>
        <w:t xml:space="preserve"> can </w:t>
      </w:r>
      <w:r w:rsidR="000C2D91">
        <w:rPr>
          <w:lang w:val="en-US"/>
        </w:rPr>
        <w:t>participate in</w:t>
      </w:r>
      <w:r w:rsidR="00482538">
        <w:rPr>
          <w:lang w:val="en-US"/>
        </w:rPr>
        <w:t xml:space="preserve"> </w:t>
      </w:r>
      <w:r w:rsidRPr="00925B59">
        <w:rPr>
          <w:lang w:val="en-US"/>
        </w:rPr>
        <w:t xml:space="preserve">decision-making. In Norway, the Coastal Saami Resource Centre manages a database and maps </w:t>
      </w:r>
      <w:r w:rsidRPr="00915C44">
        <w:rPr>
          <w:lang w:val="en-US"/>
        </w:rPr>
        <w:t>containing social and environmental information about the coastal fiords. Saami control of this information helps to support “a real knowledge exchange instead of assimilation of local knowledge by science.”</w:t>
      </w:r>
      <w:r w:rsidRPr="00915C44">
        <w:rPr>
          <w:rStyle w:val="FootnoteReference"/>
          <w:lang w:val="en-US"/>
        </w:rPr>
        <w:footnoteReference w:id="259"/>
      </w:r>
      <w:r w:rsidRPr="00915C44">
        <w:rPr>
          <w:lang w:val="en-US"/>
        </w:rPr>
        <w:t xml:space="preserve"> </w:t>
      </w:r>
      <w:r w:rsidR="00915C44">
        <w:rPr>
          <w:lang w:val="en-US"/>
        </w:rPr>
        <w:t>Similar to</w:t>
      </w:r>
      <w:r w:rsidR="00915C44" w:rsidRPr="00915C44">
        <w:rPr>
          <w:lang w:val="en-US"/>
        </w:rPr>
        <w:t xml:space="preserve"> AMSA</w:t>
      </w:r>
      <w:r w:rsidR="00915C44">
        <w:rPr>
          <w:lang w:val="en-US"/>
        </w:rPr>
        <w:t>’s</w:t>
      </w:r>
      <w:r w:rsidR="00915C44" w:rsidRPr="00915C44">
        <w:rPr>
          <w:lang w:val="en-US"/>
        </w:rPr>
        <w:t xml:space="preserve"> recommendation, the Arctic Ocean Review recommends that “</w:t>
      </w:r>
      <w:r w:rsidR="00915C44" w:rsidRPr="00D8359C">
        <w:t>The Arctic states in cooperation with the Arctic Council should assist, as appropriate, the Permanent Participants with the documentation of current and historical a) timing and geographical extent of local uses of the marine environment, and b) levels of traditional marine resources harvests, taking into account the differing documentation needs and capacities of Arctic states.</w:t>
      </w:r>
      <w:r w:rsidR="00915C44">
        <w:t>”</w:t>
      </w:r>
      <w:r w:rsidR="00915C44">
        <w:rPr>
          <w:rStyle w:val="FootnoteReference"/>
        </w:rPr>
        <w:footnoteReference w:id="260"/>
      </w:r>
      <w:r w:rsidR="00915C44" w:rsidRPr="00915C44">
        <w:t xml:space="preserve"> </w:t>
      </w:r>
    </w:p>
    <w:p w14:paraId="21EAF802" w14:textId="77777777" w:rsidR="00B50427" w:rsidRPr="00915C44" w:rsidRDefault="00B50427" w:rsidP="00B12B13"/>
    <w:p w14:paraId="4E393892" w14:textId="716C9337" w:rsidR="00B50427" w:rsidRPr="00925B59" w:rsidRDefault="00B50427" w:rsidP="00B12B13">
      <w:r w:rsidRPr="00925B59">
        <w:t>Although consultation must be informed, information sharing alone is not sufficient for meaningful engagement. As di</w:t>
      </w:r>
      <w:r w:rsidR="00AD0EF0" w:rsidRPr="00925B59">
        <w:t>scussed in more detail below, consultation</w:t>
      </w:r>
      <w:r w:rsidR="003B57D9">
        <w:t xml:space="preserve"> is a two-</w:t>
      </w:r>
      <w:r w:rsidRPr="00925B59">
        <w:t>way, on-going process</w:t>
      </w:r>
      <w:r w:rsidR="003B57D9">
        <w:t xml:space="preserve">. It is important for outside entities to understand that engagement </w:t>
      </w:r>
      <w:r w:rsidRPr="00925B59">
        <w:t>is much more than, for example, a presentation followed by the opportunity for questions and comments.</w:t>
      </w:r>
      <w:r w:rsidRPr="00925B59">
        <w:rPr>
          <w:rStyle w:val="FootnoteReference"/>
        </w:rPr>
        <w:footnoteReference w:id="261"/>
      </w:r>
    </w:p>
    <w:p w14:paraId="043C1CB3" w14:textId="77777777" w:rsidR="00B50427" w:rsidRPr="00925B59" w:rsidRDefault="00B50427" w:rsidP="00B12B13"/>
    <w:p w14:paraId="1125A279" w14:textId="25546709" w:rsidR="00B50427" w:rsidRPr="005C5E48" w:rsidRDefault="00800CE4" w:rsidP="005C5E48">
      <w:pPr>
        <w:pStyle w:val="Heading2"/>
        <w:numPr>
          <w:ilvl w:val="0"/>
          <w:numId w:val="20"/>
        </w:numPr>
        <w:rPr>
          <w:rFonts w:ascii="Times New Roman" w:hAnsi="Times New Roman" w:cs="Times New Roman"/>
          <w:color w:val="auto"/>
          <w:sz w:val="24"/>
          <w:szCs w:val="24"/>
          <w:u w:val="single"/>
        </w:rPr>
      </w:pPr>
      <w:bookmarkStart w:id="90" w:name="_Toc334125712"/>
      <w:r w:rsidRPr="005C5E48">
        <w:rPr>
          <w:rFonts w:ascii="Times New Roman" w:hAnsi="Times New Roman" w:cs="Times New Roman"/>
          <w:color w:val="auto"/>
          <w:sz w:val="24"/>
          <w:szCs w:val="24"/>
          <w:u w:val="single"/>
        </w:rPr>
        <w:t>Ongoing communi</w:t>
      </w:r>
      <w:r w:rsidR="00C215DE" w:rsidRPr="005C5E48">
        <w:rPr>
          <w:rFonts w:ascii="Times New Roman" w:hAnsi="Times New Roman" w:cs="Times New Roman"/>
          <w:color w:val="auto"/>
          <w:sz w:val="24"/>
          <w:szCs w:val="24"/>
          <w:u w:val="single"/>
        </w:rPr>
        <w:t>cation focused on relationship-</w:t>
      </w:r>
      <w:r w:rsidRPr="005C5E48">
        <w:rPr>
          <w:rFonts w:ascii="Times New Roman" w:hAnsi="Times New Roman" w:cs="Times New Roman"/>
          <w:color w:val="auto"/>
          <w:sz w:val="24"/>
          <w:szCs w:val="24"/>
          <w:u w:val="single"/>
        </w:rPr>
        <w:t>building</w:t>
      </w:r>
      <w:bookmarkEnd w:id="90"/>
    </w:p>
    <w:p w14:paraId="6BD6AC35" w14:textId="77777777" w:rsidR="00B50427" w:rsidRPr="00925B59" w:rsidRDefault="00B50427" w:rsidP="00B12B13">
      <w:pPr>
        <w:pStyle w:val="ListParagraph"/>
        <w:widowControl w:val="0"/>
        <w:autoSpaceDE w:val="0"/>
        <w:autoSpaceDN w:val="0"/>
        <w:adjustRightInd w:val="0"/>
        <w:ind w:left="1080"/>
      </w:pPr>
    </w:p>
    <w:p w14:paraId="746EFFA8" w14:textId="32017EA4" w:rsidR="00AD6542" w:rsidRDefault="00CC5658" w:rsidP="00B12B13">
      <w:pPr>
        <w:widowControl w:val="0"/>
        <w:autoSpaceDE w:val="0"/>
        <w:autoSpaceDN w:val="0"/>
        <w:adjustRightInd w:val="0"/>
      </w:pPr>
      <w:r>
        <w:t>Meaningful e</w:t>
      </w:r>
      <w:r w:rsidR="00585438">
        <w:t>ngagement is an on</w:t>
      </w:r>
      <w:r w:rsidR="00B50427" w:rsidRPr="00925B59">
        <w:t>going, iterative process</w:t>
      </w:r>
      <w:r w:rsidR="00A351B7">
        <w:t xml:space="preserve"> focused on relationships, trust, and respect</w:t>
      </w:r>
      <w:r w:rsidR="00457012">
        <w:t xml:space="preserve">. </w:t>
      </w:r>
      <w:r w:rsidR="00B50427" w:rsidRPr="00925B59">
        <w:t>As tribes in the Bering Straits observed, engagement should be focused on the development of a relationship rather than discussion about a specific issue, and the relationship “should be maintained even during periods when there are no major issues of contention.”</w:t>
      </w:r>
      <w:r w:rsidR="00B50427" w:rsidRPr="00925B59">
        <w:rPr>
          <w:rStyle w:val="FootnoteReference"/>
        </w:rPr>
        <w:footnoteReference w:id="262"/>
      </w:r>
      <w:r w:rsidR="00B50427" w:rsidRPr="00925B59">
        <w:t xml:space="preserve"> </w:t>
      </w:r>
    </w:p>
    <w:p w14:paraId="3E0BE200" w14:textId="77777777" w:rsidR="00AD6542" w:rsidRDefault="00AD6542" w:rsidP="00B12B13">
      <w:pPr>
        <w:widowControl w:val="0"/>
        <w:autoSpaceDE w:val="0"/>
        <w:autoSpaceDN w:val="0"/>
        <w:adjustRightInd w:val="0"/>
      </w:pPr>
    </w:p>
    <w:p w14:paraId="1AEBE841" w14:textId="68437189" w:rsidR="00457012" w:rsidRDefault="006742B9" w:rsidP="00B12B13">
      <w:pPr>
        <w:widowControl w:val="0"/>
        <w:autoSpaceDE w:val="0"/>
        <w:autoSpaceDN w:val="0"/>
        <w:adjustRightInd w:val="0"/>
      </w:pPr>
      <w:r>
        <w:t>As a forum for coopera</w:t>
      </w:r>
      <w:r w:rsidR="009B06B5">
        <w:t xml:space="preserve">tion between Arctic States that includes </w:t>
      </w:r>
      <w:r>
        <w:t>participation by Indigenous Peoples, the Arctic Council supports the development of ongoing relationships</w:t>
      </w:r>
      <w:r w:rsidR="00EB0A48">
        <w:t xml:space="preserve"> and partnerships</w:t>
      </w:r>
      <w:r>
        <w:t xml:space="preserve"> with Indigenous Peoples. </w:t>
      </w:r>
      <w:r w:rsidR="00AD6542">
        <w:t xml:space="preserve">Arctic Council </w:t>
      </w:r>
      <w:r>
        <w:t>recommendations also stress</w:t>
      </w:r>
      <w:r w:rsidR="00AD6542">
        <w:t xml:space="preserve"> the importance of building ongoing relationships and engaging at all stages of activities.</w:t>
      </w:r>
      <w:r w:rsidR="00AD6542">
        <w:rPr>
          <w:rStyle w:val="FootnoteReference"/>
        </w:rPr>
        <w:footnoteReference w:id="263"/>
      </w:r>
      <w:r w:rsidR="00AD6542">
        <w:t xml:space="preserve"> </w:t>
      </w:r>
      <w:r>
        <w:t>For example, t</w:t>
      </w:r>
      <w:r w:rsidR="008A61CD" w:rsidRPr="00925B59">
        <w:t xml:space="preserve">he </w:t>
      </w:r>
      <w:r w:rsidR="006723D4" w:rsidRPr="00925B59">
        <w:t>AACA (</w:t>
      </w:r>
      <w:r w:rsidR="008A61CD" w:rsidRPr="00925B59">
        <w:t xml:space="preserve">a) </w:t>
      </w:r>
      <w:r w:rsidR="00A46654">
        <w:t xml:space="preserve">report </w:t>
      </w:r>
      <w:r w:rsidR="008A61CD" w:rsidRPr="00925B59">
        <w:t>notes</w:t>
      </w:r>
      <w:r>
        <w:t>,</w:t>
      </w:r>
      <w:r w:rsidR="008A61CD" w:rsidRPr="00925B59">
        <w:rPr>
          <w:rFonts w:eastAsia="Times New Roman"/>
          <w:color w:val="000000"/>
          <w:lang w:val="en-US"/>
        </w:rPr>
        <w:t xml:space="preserve"> “building relationships with community leaders, organizations, and spending time in the community allows for greater success.”</w:t>
      </w:r>
      <w:r w:rsidR="008A61CD" w:rsidRPr="00925B59">
        <w:rPr>
          <w:rStyle w:val="FootnoteReference"/>
          <w:rFonts w:eastAsia="Times New Roman"/>
          <w:color w:val="000000"/>
          <w:lang w:val="en-US"/>
        </w:rPr>
        <w:footnoteReference w:id="264"/>
      </w:r>
      <w:r w:rsidR="00163D66" w:rsidRPr="00163D66">
        <w:t xml:space="preserve"> </w:t>
      </w:r>
    </w:p>
    <w:p w14:paraId="2E028792" w14:textId="77777777" w:rsidR="00457012" w:rsidRDefault="00457012" w:rsidP="00B12B13">
      <w:pPr>
        <w:widowControl w:val="0"/>
        <w:autoSpaceDE w:val="0"/>
        <w:autoSpaceDN w:val="0"/>
        <w:adjustRightInd w:val="0"/>
      </w:pPr>
    </w:p>
    <w:p w14:paraId="25996C8F" w14:textId="71677A53" w:rsidR="00B50427" w:rsidRDefault="006742B9" w:rsidP="00B12B13">
      <w:pPr>
        <w:widowControl w:val="0"/>
        <w:autoSpaceDE w:val="0"/>
        <w:autoSpaceDN w:val="0"/>
        <w:adjustRightInd w:val="0"/>
      </w:pPr>
      <w:r>
        <w:t>W</w:t>
      </w:r>
      <w:r w:rsidR="00457012" w:rsidRPr="00925B59">
        <w:t>hen communication and relationships occur outside the formal consultation process, the consultation</w:t>
      </w:r>
      <w:r w:rsidR="00457012">
        <w:t xml:space="preserve"> process itself is strengthened</w:t>
      </w:r>
      <w:r w:rsidR="00457012" w:rsidRPr="00925B59">
        <w:t>.</w:t>
      </w:r>
      <w:r w:rsidR="00457012" w:rsidRPr="00925B59">
        <w:rPr>
          <w:rStyle w:val="FootnoteReference"/>
          <w:color w:val="070909"/>
        </w:rPr>
        <w:footnoteReference w:id="265"/>
      </w:r>
      <w:r w:rsidR="00FA61F2">
        <w:t xml:space="preserve"> </w:t>
      </w:r>
      <w:r w:rsidR="00B50427" w:rsidRPr="00925B59">
        <w:t xml:space="preserve">For example, in a study about successful consultations in Sweden, the authors noted that the community could raise concerns and ask </w:t>
      </w:r>
      <w:r w:rsidR="00B50427" w:rsidRPr="00925B59">
        <w:lastRenderedPageBreak/>
        <w:t>questions at any time. The company established permanent information centers in the community, corporate representatives lived in the community and were always available, and weekly meetings were held at the town hall to provide project updates. This “helped establish a very personal relationship between this manager and residents of the municipality, to the extent that the individual communicates with locals through text messages.”</w:t>
      </w:r>
      <w:r w:rsidR="00B50427" w:rsidRPr="00925B59">
        <w:rPr>
          <w:rStyle w:val="FootnoteReference"/>
        </w:rPr>
        <w:footnoteReference w:id="266"/>
      </w:r>
      <w:r w:rsidR="00B50427" w:rsidRPr="00925B59">
        <w:t xml:space="preserve"> Similarly, the U</w:t>
      </w:r>
      <w:r w:rsidR="00686315" w:rsidRPr="00925B59">
        <w:t>.</w:t>
      </w:r>
      <w:r w:rsidR="00B50427" w:rsidRPr="00925B59">
        <w:t>S</w:t>
      </w:r>
      <w:r w:rsidR="00686315" w:rsidRPr="00925B59">
        <w:t>.</w:t>
      </w:r>
      <w:r w:rsidR="00B50427" w:rsidRPr="00925B59">
        <w:t xml:space="preserve"> Coast Guard engages with Arctic communities by providing safety services</w:t>
      </w:r>
      <w:r w:rsidR="00FA0E10">
        <w:t>, such as gold dredge inspections</w:t>
      </w:r>
      <w:r w:rsidR="00CF5E19">
        <w:t>,</w:t>
      </w:r>
      <w:r w:rsidR="00FA0E10">
        <w:t xml:space="preserve"> and</w:t>
      </w:r>
      <w:r w:rsidR="00CF5E19">
        <w:t xml:space="preserve"> education, such as</w:t>
      </w:r>
      <w:r w:rsidR="00FA0E10">
        <w:t xml:space="preserve"> </w:t>
      </w:r>
      <w:r w:rsidR="00D319DA">
        <w:t>informati</w:t>
      </w:r>
      <w:r w:rsidR="0060141F">
        <w:t xml:space="preserve">on about the need for children </w:t>
      </w:r>
      <w:r w:rsidR="00D319DA">
        <w:t>to wear personal flotation devices</w:t>
      </w:r>
      <w:r w:rsidR="00B50427" w:rsidRPr="00925B59">
        <w:t>.</w:t>
      </w:r>
      <w:r w:rsidR="00B50427" w:rsidRPr="00925B59">
        <w:rPr>
          <w:rStyle w:val="FootnoteReference"/>
        </w:rPr>
        <w:footnoteReference w:id="267"/>
      </w:r>
      <w:r w:rsidR="000F1622" w:rsidRPr="00925B59">
        <w:t xml:space="preserve"> </w:t>
      </w:r>
      <w:r w:rsidR="002E387E">
        <w:t>In Norway, the government and the Saami Parliament have regularly scheduled meetings to maintain strong communications.</w:t>
      </w:r>
      <w:r w:rsidR="002E387E">
        <w:rPr>
          <w:rStyle w:val="FootnoteReference"/>
        </w:rPr>
        <w:footnoteReference w:id="268"/>
      </w:r>
      <w:r>
        <w:t xml:space="preserve"> </w:t>
      </w:r>
      <w:r w:rsidR="005023AE">
        <w:t>For r</w:t>
      </w:r>
      <w:r w:rsidRPr="00925B59">
        <w:t>esearchers</w:t>
      </w:r>
      <w:r w:rsidR="005023AE">
        <w:t>,</w:t>
      </w:r>
      <w:r>
        <w:t xml:space="preserve"> </w:t>
      </w:r>
      <w:r w:rsidRPr="00925B59">
        <w:t>develop</w:t>
      </w:r>
      <w:r w:rsidR="005023AE">
        <w:t>ing</w:t>
      </w:r>
      <w:r w:rsidRPr="00925B59">
        <w:t xml:space="preserve"> long-term relationships with communities </w:t>
      </w:r>
      <w:r w:rsidR="005023AE">
        <w:t xml:space="preserve">can </w:t>
      </w:r>
      <w:r w:rsidRPr="00925B59">
        <w:t>foster the identification of studies that are of mutual interest.</w:t>
      </w:r>
      <w:r w:rsidRPr="00925B59">
        <w:rPr>
          <w:rStyle w:val="FootnoteReference"/>
        </w:rPr>
        <w:footnoteReference w:id="269"/>
      </w:r>
    </w:p>
    <w:p w14:paraId="0947B9FB" w14:textId="77777777" w:rsidR="009A412F" w:rsidRDefault="009A412F" w:rsidP="00B12B13">
      <w:pPr>
        <w:widowControl w:val="0"/>
        <w:autoSpaceDE w:val="0"/>
        <w:autoSpaceDN w:val="0"/>
        <w:adjustRightInd w:val="0"/>
      </w:pPr>
    </w:p>
    <w:p w14:paraId="5FB760DC" w14:textId="190BC911" w:rsidR="009A412F" w:rsidRPr="00300171" w:rsidRDefault="009A412F" w:rsidP="00B12B13">
      <w:pPr>
        <w:widowControl w:val="0"/>
        <w:autoSpaceDE w:val="0"/>
        <w:autoSpaceDN w:val="0"/>
        <w:adjustRightInd w:val="0"/>
      </w:pPr>
      <w:r w:rsidRPr="00925B59">
        <w:t>When engagement is driven primarily by the objective of legal compliance, it is often reduced to discrete consultation meetings related to environmental and social assessment. “</w:t>
      </w:r>
      <w:r w:rsidRPr="00925B59">
        <w:rPr>
          <w:color w:val="1A1718"/>
          <w:lang w:val="en-US"/>
        </w:rPr>
        <w:t>This type of consultation rarely extends in any meaningful way beyond the project planning phase, and is seldom integrated into core business activities or measured in terms of its effectiveness in buildin</w:t>
      </w:r>
      <w:r w:rsidRPr="00300171">
        <w:rPr>
          <w:color w:val="1A1718"/>
          <w:lang w:val="en-US"/>
        </w:rPr>
        <w:t>g constructive working relationships.</w:t>
      </w:r>
      <w:r w:rsidRPr="00300171">
        <w:rPr>
          <w:lang w:val="en-US"/>
        </w:rPr>
        <w:t>”</w:t>
      </w:r>
      <w:r w:rsidRPr="00300171">
        <w:rPr>
          <w:rStyle w:val="FootnoteReference"/>
          <w:lang w:val="en-US"/>
        </w:rPr>
        <w:footnoteReference w:id="270"/>
      </w:r>
    </w:p>
    <w:p w14:paraId="7218CCD6" w14:textId="77777777" w:rsidR="000A7173" w:rsidRPr="00300171" w:rsidRDefault="000A7173" w:rsidP="00B12B13">
      <w:pPr>
        <w:widowControl w:val="0"/>
        <w:autoSpaceDE w:val="0"/>
        <w:autoSpaceDN w:val="0"/>
        <w:adjustRightInd w:val="0"/>
      </w:pPr>
    </w:p>
    <w:p w14:paraId="1C0B88C2" w14:textId="0CBF6AA9" w:rsidR="000A7173" w:rsidRPr="00300171" w:rsidRDefault="000A7173" w:rsidP="000A7173">
      <w:pPr>
        <w:rPr>
          <w:rFonts w:eastAsia="Times New Roman"/>
          <w:color w:val="000000"/>
          <w:lang w:val="en-US"/>
        </w:rPr>
      </w:pPr>
      <w:r w:rsidRPr="00300171">
        <w:t xml:space="preserve">Partnerships to advance mutual goals can also support ongoing engagement. </w:t>
      </w:r>
      <w:r w:rsidR="009A412F" w:rsidRPr="00300171">
        <w:rPr>
          <w:rFonts w:eastAsia="Times New Roman"/>
          <w:color w:val="000000"/>
          <w:lang w:val="en-US"/>
        </w:rPr>
        <w:t xml:space="preserve">Within the Arctic Council, these partnerships can be developed with Permanent Participants. </w:t>
      </w:r>
      <w:r w:rsidRPr="00300171">
        <w:t xml:space="preserve">The Arctic Council Arctic Marine Strategic Plan (2004) recommends that </w:t>
      </w:r>
      <w:r w:rsidR="00585438" w:rsidRPr="00300171">
        <w:rPr>
          <w:rFonts w:eastAsia="Times New Roman"/>
          <w:color w:val="000000"/>
          <w:lang w:val="en-US"/>
        </w:rPr>
        <w:t xml:space="preserve">the Arctic Council </w:t>
      </w:r>
      <w:r w:rsidRPr="00300171">
        <w:rPr>
          <w:rFonts w:eastAsia="Times New Roman"/>
          <w:color w:val="000000"/>
          <w:lang w:val="en-US"/>
        </w:rPr>
        <w:t xml:space="preserve">foster partnerships among governments and </w:t>
      </w:r>
      <w:r w:rsidR="00C95A84" w:rsidRPr="00300171">
        <w:rPr>
          <w:rFonts w:eastAsia="Times New Roman"/>
          <w:color w:val="000000"/>
          <w:lang w:val="en-US"/>
        </w:rPr>
        <w:t>Indigenous</w:t>
      </w:r>
      <w:r w:rsidR="00FC63E1" w:rsidRPr="00300171">
        <w:rPr>
          <w:rFonts w:eastAsia="Times New Roman"/>
          <w:color w:val="000000"/>
          <w:lang w:val="en-US"/>
        </w:rPr>
        <w:t xml:space="preserve"> Peoples</w:t>
      </w:r>
      <w:r w:rsidR="00900642" w:rsidRPr="00300171">
        <w:rPr>
          <w:rFonts w:eastAsia="Times New Roman"/>
          <w:color w:val="000000"/>
          <w:lang w:val="en-US"/>
        </w:rPr>
        <w:t>’</w:t>
      </w:r>
      <w:r w:rsidR="00585438" w:rsidRPr="00300171">
        <w:rPr>
          <w:rFonts w:eastAsia="Times New Roman"/>
          <w:color w:val="000000"/>
          <w:lang w:val="en-US"/>
        </w:rPr>
        <w:t xml:space="preserve"> organizations, </w:t>
      </w:r>
      <w:r w:rsidR="008926E0" w:rsidRPr="00300171">
        <w:rPr>
          <w:rFonts w:eastAsia="Times New Roman"/>
          <w:color w:val="000000"/>
          <w:lang w:val="en-US"/>
        </w:rPr>
        <w:t>communities, companies</w:t>
      </w:r>
      <w:r w:rsidRPr="00300171">
        <w:rPr>
          <w:rFonts w:eastAsia="Times New Roman"/>
          <w:color w:val="000000"/>
          <w:lang w:val="en-US"/>
        </w:rPr>
        <w:t xml:space="preserve">, international bodies, </w:t>
      </w:r>
      <w:r w:rsidR="00585438" w:rsidRPr="00300171">
        <w:rPr>
          <w:rFonts w:eastAsia="Times New Roman"/>
          <w:color w:val="000000"/>
          <w:lang w:val="en-US"/>
        </w:rPr>
        <w:t>NGOs and academia</w:t>
      </w:r>
      <w:r w:rsidRPr="00300171">
        <w:rPr>
          <w:rFonts w:eastAsia="Times New Roman"/>
          <w:color w:val="000000"/>
          <w:lang w:val="en-US"/>
        </w:rPr>
        <w:t xml:space="preserve"> to advance the goals of the strategic plan.</w:t>
      </w:r>
      <w:r w:rsidRPr="00300171">
        <w:rPr>
          <w:rStyle w:val="FootnoteReference"/>
          <w:rFonts w:eastAsia="Times New Roman"/>
          <w:color w:val="000000"/>
          <w:lang w:val="en-US"/>
        </w:rPr>
        <w:footnoteReference w:id="271"/>
      </w:r>
      <w:r w:rsidR="006D5268" w:rsidRPr="00300171">
        <w:rPr>
          <w:rFonts w:eastAsia="Times New Roman"/>
          <w:color w:val="000000"/>
          <w:lang w:val="en-US"/>
        </w:rPr>
        <w:t xml:space="preserve"> Similarly, the U.S. Arctic Strategy commits to fostering partnerships with Indigenous Peoples and recom</w:t>
      </w:r>
      <w:r w:rsidR="00E5360B" w:rsidRPr="00300171">
        <w:rPr>
          <w:rFonts w:eastAsia="Times New Roman"/>
          <w:color w:val="000000"/>
          <w:lang w:val="en-US"/>
        </w:rPr>
        <w:t>mends that governments, tribal communities,</w:t>
      </w:r>
      <w:r w:rsidR="008926E0" w:rsidRPr="00300171">
        <w:rPr>
          <w:rFonts w:eastAsia="Times New Roman"/>
          <w:color w:val="000000"/>
          <w:lang w:val="en-US"/>
        </w:rPr>
        <w:t xml:space="preserve"> NGOs, researchers, and companies</w:t>
      </w:r>
      <w:r w:rsidR="00E5360B" w:rsidRPr="00300171">
        <w:rPr>
          <w:rFonts w:eastAsia="Times New Roman"/>
          <w:color w:val="000000"/>
          <w:lang w:val="en-US"/>
        </w:rPr>
        <w:t xml:space="preserve"> to work together to address challenges and </w:t>
      </w:r>
      <w:r w:rsidR="006723D4" w:rsidRPr="00300171">
        <w:rPr>
          <w:rFonts w:eastAsia="Times New Roman"/>
          <w:color w:val="000000"/>
          <w:lang w:val="en-US"/>
        </w:rPr>
        <w:t>opportunities</w:t>
      </w:r>
      <w:r w:rsidR="00E5360B" w:rsidRPr="00300171">
        <w:rPr>
          <w:rFonts w:eastAsia="Times New Roman"/>
          <w:color w:val="000000"/>
          <w:lang w:val="en-US"/>
        </w:rPr>
        <w:t xml:space="preserve"> in the Arctic.</w:t>
      </w:r>
      <w:r w:rsidR="00E5360B" w:rsidRPr="00300171">
        <w:rPr>
          <w:rStyle w:val="FootnoteReference"/>
          <w:rFonts w:eastAsia="Times New Roman"/>
          <w:color w:val="000000"/>
          <w:lang w:val="en-US"/>
        </w:rPr>
        <w:footnoteReference w:id="272"/>
      </w:r>
      <w:r w:rsidR="0007015A">
        <w:rPr>
          <w:rFonts w:eastAsia="Times New Roman"/>
          <w:color w:val="000000"/>
          <w:lang w:val="en-US"/>
        </w:rPr>
        <w:t xml:space="preserve"> The AACA project found that partnerships, including with Indigenous Peoples, were an “overwhelming component” of adaptation activities in the Arctic.</w:t>
      </w:r>
      <w:r w:rsidR="0007015A">
        <w:rPr>
          <w:rStyle w:val="FootnoteReference"/>
          <w:rFonts w:eastAsia="Times New Roman"/>
          <w:color w:val="000000"/>
          <w:lang w:val="en-US"/>
        </w:rPr>
        <w:footnoteReference w:id="273"/>
      </w:r>
    </w:p>
    <w:p w14:paraId="09E674CE" w14:textId="27650860" w:rsidR="00B50427" w:rsidRPr="00300171" w:rsidRDefault="00B50427" w:rsidP="00B12B13">
      <w:pPr>
        <w:widowControl w:val="0"/>
        <w:autoSpaceDE w:val="0"/>
        <w:autoSpaceDN w:val="0"/>
        <w:adjustRightInd w:val="0"/>
        <w:rPr>
          <w:lang w:val="en-US"/>
        </w:rPr>
      </w:pPr>
    </w:p>
    <w:p w14:paraId="46CF58FA" w14:textId="77340B92" w:rsidR="0073118A" w:rsidRPr="00300171" w:rsidRDefault="00BE10FA" w:rsidP="00AD242C">
      <w:pPr>
        <w:rPr>
          <w:rFonts w:eastAsia="Times New Roman"/>
          <w:color w:val="000000"/>
          <w:lang w:val="en-US"/>
        </w:rPr>
      </w:pPr>
      <w:r w:rsidRPr="00300171">
        <w:t>Engagement</w:t>
      </w:r>
      <w:r w:rsidR="00C1116F" w:rsidRPr="00300171">
        <w:t xml:space="preserve"> </w:t>
      </w:r>
      <w:r w:rsidR="008B35A1" w:rsidRPr="00300171">
        <w:t>should occur</w:t>
      </w:r>
      <w:r w:rsidR="00C1116F" w:rsidRPr="00300171">
        <w:t xml:space="preserve"> at all stages of an activity. Thus, s</w:t>
      </w:r>
      <w:r w:rsidR="00B50427" w:rsidRPr="00300171">
        <w:t>uccessful engagement continues even af</w:t>
      </w:r>
      <w:r w:rsidR="00C1116F" w:rsidRPr="00300171">
        <w:t xml:space="preserve">ter activities have begun. </w:t>
      </w:r>
      <w:r w:rsidR="00C1754E" w:rsidRPr="00300171">
        <w:t>As the Sustainable Development Working Group notes with respect to mining, “</w:t>
      </w:r>
      <w:r w:rsidR="00C1754E" w:rsidRPr="00300171">
        <w:rPr>
          <w:rFonts w:eastAsia="Times New Roman"/>
          <w:color w:val="000000"/>
          <w:lang w:val="en-US"/>
        </w:rPr>
        <w:t>It is important that communication is maintained throughout the fieldwork.”</w:t>
      </w:r>
      <w:r w:rsidR="00C1754E" w:rsidRPr="00300171">
        <w:rPr>
          <w:rStyle w:val="FootnoteReference"/>
        </w:rPr>
        <w:footnoteReference w:id="274"/>
      </w:r>
      <w:r w:rsidR="00AD242C" w:rsidRPr="00300171">
        <w:rPr>
          <w:rFonts w:eastAsia="Times New Roman"/>
          <w:color w:val="000000"/>
          <w:lang w:val="en-US"/>
        </w:rPr>
        <w:t xml:space="preserve"> </w:t>
      </w:r>
      <w:r w:rsidR="008B7D10" w:rsidRPr="00300171">
        <w:t xml:space="preserve">Providing and requesting feedback on whether activities and projects are following the agreed upon plan, and on the effectiveness of the engagement process being used, </w:t>
      </w:r>
      <w:r w:rsidR="008B7D10" w:rsidRPr="00300171">
        <w:lastRenderedPageBreak/>
        <w:t>can help parties to identify where modifications should be made</w:t>
      </w:r>
      <w:r w:rsidR="001F780A" w:rsidRPr="00300171">
        <w:t xml:space="preserve"> and reinforce accessibility of participation for </w:t>
      </w:r>
      <w:r w:rsidR="00C95A84" w:rsidRPr="00300171">
        <w:t>Indigenous</w:t>
      </w:r>
      <w:r w:rsidR="00FC63E1" w:rsidRPr="00300171">
        <w:t xml:space="preserve"> Peoples</w:t>
      </w:r>
      <w:r w:rsidR="008B7D10" w:rsidRPr="00300171">
        <w:t>.</w:t>
      </w:r>
      <w:r w:rsidR="008B7D10" w:rsidRPr="00300171">
        <w:rPr>
          <w:rStyle w:val="FootnoteReference"/>
        </w:rPr>
        <w:footnoteReference w:id="275"/>
      </w:r>
      <w:r w:rsidR="001F780A" w:rsidRPr="00300171">
        <w:t xml:space="preserve"> </w:t>
      </w:r>
    </w:p>
    <w:p w14:paraId="680D81DA" w14:textId="77777777" w:rsidR="00D13CD0" w:rsidRPr="00300171" w:rsidRDefault="00D13CD0" w:rsidP="00AD242C">
      <w:pPr>
        <w:rPr>
          <w:rFonts w:eastAsia="Times New Roman"/>
          <w:color w:val="000000"/>
          <w:lang w:val="en-US"/>
        </w:rPr>
      </w:pPr>
    </w:p>
    <w:p w14:paraId="3FC9587C" w14:textId="77777777" w:rsidR="00C5036F" w:rsidRDefault="00AD242C" w:rsidP="00300171">
      <w:pPr>
        <w:widowControl w:val="0"/>
        <w:tabs>
          <w:tab w:val="left" w:pos="220"/>
          <w:tab w:val="left" w:pos="720"/>
        </w:tabs>
        <w:autoSpaceDE w:val="0"/>
        <w:autoSpaceDN w:val="0"/>
        <w:adjustRightInd w:val="0"/>
        <w:spacing w:after="186"/>
        <w:rPr>
          <w:lang w:val="en-US"/>
        </w:rPr>
      </w:pPr>
      <w:r w:rsidRPr="00300171">
        <w:rPr>
          <w:rFonts w:eastAsia="Times New Roman"/>
          <w:color w:val="000000"/>
          <w:lang w:val="en-US"/>
        </w:rPr>
        <w:t xml:space="preserve">In addition to </w:t>
      </w:r>
      <w:r w:rsidR="0073118A" w:rsidRPr="00300171">
        <w:rPr>
          <w:rFonts w:eastAsia="Times New Roman"/>
          <w:color w:val="000000"/>
          <w:lang w:val="en-US"/>
        </w:rPr>
        <w:t xml:space="preserve">reporting regularly on the project, </w:t>
      </w:r>
      <w:r w:rsidRPr="00300171">
        <w:rPr>
          <w:rFonts w:eastAsia="Times New Roman"/>
          <w:color w:val="000000"/>
          <w:lang w:val="en-US"/>
        </w:rPr>
        <w:t xml:space="preserve">outside entities can engage </w:t>
      </w:r>
      <w:r w:rsidR="00C95A84" w:rsidRPr="00300171">
        <w:rPr>
          <w:rFonts w:eastAsia="Times New Roman"/>
          <w:color w:val="000000"/>
          <w:lang w:val="en-US"/>
        </w:rPr>
        <w:t>Indigenous</w:t>
      </w:r>
      <w:r w:rsidR="00FC63E1" w:rsidRPr="00300171">
        <w:rPr>
          <w:rFonts w:eastAsia="Times New Roman"/>
          <w:color w:val="000000"/>
          <w:lang w:val="en-US"/>
        </w:rPr>
        <w:t xml:space="preserve"> Peoples</w:t>
      </w:r>
      <w:r w:rsidRPr="00300171">
        <w:rPr>
          <w:rFonts w:eastAsia="Times New Roman"/>
          <w:color w:val="000000"/>
          <w:lang w:val="en-US"/>
        </w:rPr>
        <w:t xml:space="preserve"> </w:t>
      </w:r>
      <w:r w:rsidR="00D13CD0" w:rsidRPr="00300171">
        <w:t>in a collaborative development of performance indicators as well as monitoring and reporting on the impacts of the activity.</w:t>
      </w:r>
      <w:r w:rsidR="00D13CD0" w:rsidRPr="00300171">
        <w:rPr>
          <w:rStyle w:val="FootnoteReference"/>
        </w:rPr>
        <w:footnoteReference w:id="276"/>
      </w:r>
      <w:r w:rsidR="00D13CD0" w:rsidRPr="00300171">
        <w:t xml:space="preserve"> </w:t>
      </w:r>
      <w:r w:rsidR="0073118A" w:rsidRPr="00300171">
        <w:t>For instance</w:t>
      </w:r>
      <w:r w:rsidR="00EC2613" w:rsidRPr="00300171">
        <w:t>, i</w:t>
      </w:r>
      <w:r w:rsidRPr="00300171">
        <w:t>n</w:t>
      </w:r>
      <w:r w:rsidR="00B50427" w:rsidRPr="00300171">
        <w:t xml:space="preserve"> the Sakhalin Oblast, when industrial development takes place on the traditional lands of </w:t>
      </w:r>
      <w:r w:rsidR="00C95A84" w:rsidRPr="00300171">
        <w:t>Indigenous</w:t>
      </w:r>
      <w:r w:rsidR="00FC63E1" w:rsidRPr="00300171">
        <w:t xml:space="preserve"> Peoples</w:t>
      </w:r>
      <w:r w:rsidR="00B50427" w:rsidRPr="00300171">
        <w:t xml:space="preserve">, </w:t>
      </w:r>
      <w:r w:rsidR="00C95A84" w:rsidRPr="00300171">
        <w:t>Indigenous</w:t>
      </w:r>
      <w:r w:rsidR="00B50427" w:rsidRPr="00300171">
        <w:t xml:space="preserve"> representatives participate in the monitoring of the industrial activity.</w:t>
      </w:r>
      <w:r w:rsidR="00B50427" w:rsidRPr="00300171">
        <w:rPr>
          <w:rStyle w:val="FootnoteReference"/>
        </w:rPr>
        <w:footnoteReference w:id="277"/>
      </w:r>
      <w:r w:rsidR="00B50427" w:rsidRPr="00300171">
        <w:t xml:space="preserve"> </w:t>
      </w:r>
      <w:r w:rsidR="004C7C77" w:rsidRPr="00300171">
        <w:t>Similarly, WWF commits to “</w:t>
      </w:r>
      <w:r w:rsidR="004C7C77" w:rsidRPr="00300171">
        <w:rPr>
          <w:lang w:val="en-US"/>
        </w:rPr>
        <w:t>assist Indigenous Peoples’ organization</w:t>
      </w:r>
      <w:r w:rsidR="00C5036F">
        <w:rPr>
          <w:lang w:val="en-US"/>
        </w:rPr>
        <w:t>s in the design, implementation [and] monitoring.”</w:t>
      </w:r>
      <w:r w:rsidR="004C7C77" w:rsidRPr="00300171">
        <w:rPr>
          <w:rStyle w:val="FootnoteReference"/>
          <w:lang w:val="en-US"/>
        </w:rPr>
        <w:footnoteReference w:id="278"/>
      </w:r>
      <w:r w:rsidR="004C7C77">
        <w:rPr>
          <w:lang w:val="en-US"/>
        </w:rPr>
        <w:t xml:space="preserve"> </w:t>
      </w:r>
    </w:p>
    <w:p w14:paraId="6227FC76" w14:textId="3C35DB9C" w:rsidR="00813ED7" w:rsidRPr="004D6BCA" w:rsidRDefault="00C5036F" w:rsidP="00A67A37">
      <w:pPr>
        <w:widowControl w:val="0"/>
        <w:tabs>
          <w:tab w:val="left" w:pos="220"/>
          <w:tab w:val="left" w:pos="720"/>
        </w:tabs>
        <w:autoSpaceDE w:val="0"/>
        <w:autoSpaceDN w:val="0"/>
        <w:adjustRightInd w:val="0"/>
        <w:spacing w:after="186"/>
        <w:rPr>
          <w:rFonts w:eastAsia="Times New Roman"/>
          <w:color w:val="000000"/>
          <w:lang w:val="en-US"/>
        </w:rPr>
      </w:pPr>
      <w:r>
        <w:rPr>
          <w:lang w:val="en-US"/>
        </w:rPr>
        <w:t>Follow up after an activity takes place can include evaluation of the activity and of the effectiveness of mitigation measures</w:t>
      </w:r>
      <w:r w:rsidR="00B50427" w:rsidRPr="00300171">
        <w:t>.</w:t>
      </w:r>
      <w:r w:rsidR="00B50427" w:rsidRPr="00300171">
        <w:rPr>
          <w:rStyle w:val="FootnoteReference"/>
        </w:rPr>
        <w:footnoteReference w:id="279"/>
      </w:r>
      <w:r w:rsidR="00042C3E" w:rsidRPr="00300171">
        <w:t xml:space="preserve"> </w:t>
      </w:r>
      <w:r w:rsidR="005E3F8E">
        <w:t xml:space="preserve">For example, the SDWG </w:t>
      </w:r>
      <w:r w:rsidR="005E3F8E" w:rsidRPr="00300171">
        <w:t>advises follow up meetings to explain results of the project.</w:t>
      </w:r>
      <w:r w:rsidR="005E3F8E" w:rsidRPr="00300171">
        <w:rPr>
          <w:rStyle w:val="FootnoteReference"/>
        </w:rPr>
        <w:footnoteReference w:id="280"/>
      </w:r>
      <w:r w:rsidR="005E3F8E" w:rsidRPr="00300171">
        <w:rPr>
          <w:rFonts w:eastAsia="Times New Roman"/>
          <w:color w:val="000000"/>
          <w:lang w:val="en-US"/>
        </w:rPr>
        <w:t xml:space="preserve"> </w:t>
      </w:r>
      <w:r w:rsidR="000B5B24">
        <w:rPr>
          <w:rFonts w:eastAsia="Times New Roman"/>
          <w:color w:val="000000"/>
          <w:lang w:val="en-US"/>
        </w:rPr>
        <w:t>P</w:t>
      </w:r>
      <w:r w:rsidR="000B5B24" w:rsidRPr="00300171">
        <w:rPr>
          <w:rFonts w:eastAsia="Times New Roman"/>
          <w:color w:val="000000"/>
          <w:lang w:val="en-US"/>
        </w:rPr>
        <w:t xml:space="preserve">rior to </w:t>
      </w:r>
      <w:r w:rsidR="000B5B24">
        <w:rPr>
          <w:rFonts w:eastAsia="Times New Roman"/>
          <w:color w:val="000000"/>
          <w:lang w:val="en-US"/>
        </w:rPr>
        <w:t>finalization,</w:t>
      </w:r>
      <w:r w:rsidR="000B5B24" w:rsidRPr="006858BC">
        <w:rPr>
          <w:rFonts w:eastAsia="Times New Roman"/>
          <w:color w:val="000000"/>
          <w:lang w:val="en-US"/>
        </w:rPr>
        <w:t xml:space="preserve"> </w:t>
      </w:r>
      <w:r w:rsidR="000B5B24" w:rsidRPr="00300171">
        <w:rPr>
          <w:rFonts w:eastAsia="Times New Roman"/>
          <w:color w:val="000000"/>
          <w:lang w:val="en-US"/>
        </w:rPr>
        <w:t xml:space="preserve">Indigenous Peoples can be given the opportunity </w:t>
      </w:r>
      <w:r w:rsidR="000B5B24">
        <w:rPr>
          <w:rFonts w:eastAsia="Times New Roman"/>
          <w:color w:val="000000"/>
          <w:lang w:val="en-US"/>
        </w:rPr>
        <w:t>to comment on research results.</w:t>
      </w:r>
      <w:r w:rsidR="000B5B24" w:rsidRPr="006858BC">
        <w:rPr>
          <w:rStyle w:val="FootnoteReference"/>
          <w:rFonts w:eastAsia="Times New Roman"/>
          <w:color w:val="000000"/>
          <w:lang w:val="en-US"/>
        </w:rPr>
        <w:footnoteReference w:id="281"/>
      </w:r>
      <w:r w:rsidR="005E3F8E">
        <w:rPr>
          <w:rFonts w:eastAsia="Times New Roman"/>
          <w:color w:val="000000"/>
          <w:lang w:val="en-US"/>
        </w:rPr>
        <w:t xml:space="preserve"> </w:t>
      </w:r>
      <w:r w:rsidR="004D6BCA">
        <w:rPr>
          <w:rFonts w:eastAsia="Times New Roman"/>
          <w:color w:val="000000"/>
          <w:lang w:val="en-US"/>
        </w:rPr>
        <w:t>Upon completion of a</w:t>
      </w:r>
      <w:r w:rsidR="00A67A37" w:rsidRPr="004035DD">
        <w:rPr>
          <w:rFonts w:eastAsia="Times New Roman"/>
          <w:color w:val="000000"/>
          <w:lang w:val="en-US"/>
        </w:rPr>
        <w:t xml:space="preserve"> project, r</w:t>
      </w:r>
      <w:r w:rsidR="0073118A" w:rsidRPr="00AF1419">
        <w:rPr>
          <w:rFonts w:eastAsia="Times New Roman"/>
          <w:color w:val="000000"/>
          <w:lang w:val="en-US"/>
        </w:rPr>
        <w:t xml:space="preserve">esearchers </w:t>
      </w:r>
      <w:r w:rsidR="00133545" w:rsidRPr="00482538">
        <w:rPr>
          <w:rFonts w:eastAsia="Times New Roman"/>
          <w:color w:val="000000"/>
          <w:lang w:val="en-US"/>
        </w:rPr>
        <w:t>can</w:t>
      </w:r>
      <w:r w:rsidR="0073118A" w:rsidRPr="00482538">
        <w:rPr>
          <w:rFonts w:eastAsia="Times New Roman"/>
          <w:color w:val="000000"/>
          <w:lang w:val="en-US"/>
        </w:rPr>
        <w:t xml:space="preserve"> </w:t>
      </w:r>
      <w:r w:rsidR="0073118A" w:rsidRPr="00915C44">
        <w:rPr>
          <w:rFonts w:eastAsia="Times New Roman"/>
          <w:color w:val="000000"/>
          <w:lang w:val="en-US"/>
        </w:rPr>
        <w:t>provide copies of the report,</w:t>
      </w:r>
      <w:r w:rsidR="00E4622A" w:rsidRPr="00915C44">
        <w:rPr>
          <w:rFonts w:eastAsia="Times New Roman"/>
          <w:color w:val="000000"/>
          <w:lang w:val="en-US"/>
        </w:rPr>
        <w:t xml:space="preserve"> data, and </w:t>
      </w:r>
      <w:r w:rsidR="00E4622A" w:rsidRPr="00C8787A">
        <w:rPr>
          <w:rFonts w:eastAsia="Times New Roman"/>
          <w:color w:val="000000"/>
          <w:lang w:val="en-US"/>
        </w:rPr>
        <w:t>non-technical summaries,</w:t>
      </w:r>
      <w:r w:rsidR="0073118A" w:rsidRPr="001623DD">
        <w:rPr>
          <w:rFonts w:eastAsia="Times New Roman"/>
          <w:color w:val="000000"/>
          <w:lang w:val="en-US"/>
        </w:rPr>
        <w:t xml:space="preserve"> </w:t>
      </w:r>
      <w:r w:rsidR="00E4622A" w:rsidRPr="00021565">
        <w:rPr>
          <w:rFonts w:eastAsia="Times New Roman"/>
          <w:color w:val="000000"/>
          <w:lang w:val="en-US"/>
        </w:rPr>
        <w:t xml:space="preserve">as well as </w:t>
      </w:r>
      <w:r w:rsidR="00E4622A" w:rsidRPr="00021565">
        <w:rPr>
          <w:color w:val="1A1718"/>
          <w:lang w:val="en-US"/>
        </w:rPr>
        <w:t>indicate how informed consent was obtained and the extent of community participation</w:t>
      </w:r>
      <w:r w:rsidR="0073118A" w:rsidRPr="00FA3A7B">
        <w:rPr>
          <w:rFonts w:eastAsia="Times New Roman"/>
          <w:color w:val="000000"/>
          <w:lang w:val="en-US"/>
        </w:rPr>
        <w:t>.</w:t>
      </w:r>
      <w:r w:rsidR="0073118A" w:rsidRPr="00482538">
        <w:rPr>
          <w:rStyle w:val="FootnoteReference"/>
          <w:rFonts w:eastAsia="Times New Roman"/>
          <w:color w:val="000000"/>
          <w:lang w:val="en-US"/>
        </w:rPr>
        <w:footnoteReference w:id="282"/>
      </w:r>
      <w:r w:rsidR="0073118A" w:rsidRPr="00482538">
        <w:rPr>
          <w:rFonts w:eastAsia="Times New Roman"/>
          <w:color w:val="000000"/>
          <w:lang w:val="en-US"/>
        </w:rPr>
        <w:t xml:space="preserve"> </w:t>
      </w:r>
      <w:r w:rsidR="009611F8" w:rsidRPr="00482538">
        <w:rPr>
          <w:rFonts w:eastAsia="Times New Roman"/>
          <w:color w:val="000000"/>
          <w:lang w:val="en-US"/>
        </w:rPr>
        <w:t xml:space="preserve">This information </w:t>
      </w:r>
      <w:r w:rsidR="007516EC" w:rsidRPr="00482538">
        <w:rPr>
          <w:rFonts w:eastAsia="Times New Roman"/>
          <w:color w:val="000000"/>
          <w:lang w:val="en-US"/>
        </w:rPr>
        <w:t xml:space="preserve">should </w:t>
      </w:r>
      <w:r w:rsidR="009611F8" w:rsidRPr="00915C44">
        <w:rPr>
          <w:rFonts w:eastAsia="Times New Roman"/>
          <w:color w:val="000000"/>
          <w:lang w:val="en-US"/>
        </w:rPr>
        <w:t>be provided to</w:t>
      </w:r>
      <w:r w:rsidR="009611F8" w:rsidRPr="00915C44">
        <w:t xml:space="preserve"> the local library, villages, agencies and other affected organizations.</w:t>
      </w:r>
      <w:r w:rsidR="009611F8" w:rsidRPr="00482538">
        <w:rPr>
          <w:rStyle w:val="FootnoteReference"/>
        </w:rPr>
        <w:footnoteReference w:id="283"/>
      </w:r>
      <w:r w:rsidR="009611F8" w:rsidRPr="00482538">
        <w:rPr>
          <w:rFonts w:eastAsia="Times New Roman"/>
          <w:color w:val="000000"/>
          <w:lang w:val="en-US"/>
        </w:rPr>
        <w:t xml:space="preserve"> </w:t>
      </w:r>
      <w:r w:rsidR="00A67A37" w:rsidRPr="006858BC">
        <w:rPr>
          <w:lang w:val="en-US"/>
        </w:rPr>
        <w:t>Community-based workshops, in which the findings from reports are communicated to Inuit communities</w:t>
      </w:r>
      <w:r w:rsidR="00BD78A7" w:rsidRPr="006858BC">
        <w:rPr>
          <w:lang w:val="en-US"/>
        </w:rPr>
        <w:t xml:space="preserve">, can be used </w:t>
      </w:r>
      <w:r w:rsidR="00A67A37" w:rsidRPr="006858BC">
        <w:rPr>
          <w:lang w:val="en-US"/>
        </w:rPr>
        <w:t>to seek their guidance on follow-up work.</w:t>
      </w:r>
      <w:r w:rsidR="00BD78A7" w:rsidRPr="006858BC">
        <w:rPr>
          <w:rStyle w:val="FootnoteReference"/>
          <w:lang w:val="en-US"/>
        </w:rPr>
        <w:footnoteReference w:id="284"/>
      </w:r>
    </w:p>
    <w:p w14:paraId="69D16E57" w14:textId="56579FAF" w:rsidR="00B50427" w:rsidRPr="00925B59" w:rsidRDefault="00042C3E" w:rsidP="00B12B13">
      <w:pPr>
        <w:widowControl w:val="0"/>
        <w:autoSpaceDE w:val="0"/>
        <w:autoSpaceDN w:val="0"/>
        <w:adjustRightInd w:val="0"/>
      </w:pPr>
      <w:r w:rsidRPr="00300171">
        <w:t xml:space="preserve">Ongoing engagement </w:t>
      </w:r>
      <w:r w:rsidR="00813ED7" w:rsidRPr="00300171">
        <w:t>is more</w:t>
      </w:r>
      <w:r w:rsidR="00671128" w:rsidRPr="00300171">
        <w:t xml:space="preserve"> likely</w:t>
      </w:r>
      <w:r w:rsidR="00813ED7" w:rsidRPr="00300171">
        <w:t xml:space="preserve"> if </w:t>
      </w:r>
      <w:r w:rsidR="00671128" w:rsidRPr="00300171">
        <w:t>finances are dedicated to supporting</w:t>
      </w:r>
      <w:r w:rsidR="001E2BD8" w:rsidRPr="00300171">
        <w:t xml:space="preserve"> it</w:t>
      </w:r>
      <w:r w:rsidRPr="00300171">
        <w:t>. For example, the U</w:t>
      </w:r>
      <w:r w:rsidR="00686315" w:rsidRPr="00300171">
        <w:t>.</w:t>
      </w:r>
      <w:r w:rsidRPr="00300171">
        <w:t>S</w:t>
      </w:r>
      <w:r w:rsidR="00686315" w:rsidRPr="00300171">
        <w:t>.</w:t>
      </w:r>
      <w:r w:rsidRPr="00300171">
        <w:t xml:space="preserve"> North Pacific Research Board grants provide a specific amount of money that is to be used for community</w:t>
      </w:r>
      <w:r w:rsidRPr="00925B59">
        <w:t xml:space="preserve"> engagement during research projects.</w:t>
      </w:r>
      <w:r w:rsidRPr="00925B59">
        <w:rPr>
          <w:rStyle w:val="FootnoteReference"/>
        </w:rPr>
        <w:footnoteReference w:id="285"/>
      </w:r>
      <w:r w:rsidR="00813ED7" w:rsidRPr="00925B59">
        <w:t xml:space="preserve"> </w:t>
      </w:r>
      <w:r w:rsidR="0060657E">
        <w:t xml:space="preserve">Funding could also be </w:t>
      </w:r>
      <w:r w:rsidR="001B0E24">
        <w:t xml:space="preserve">made </w:t>
      </w:r>
      <w:r w:rsidR="0060657E">
        <w:t>contingent on the devel</w:t>
      </w:r>
      <w:r w:rsidR="00101317">
        <w:t xml:space="preserve">opment of the research project in partnership with Indigenous Peoples. </w:t>
      </w:r>
      <w:r w:rsidR="00813ED7" w:rsidRPr="00925B59">
        <w:t xml:space="preserve">Some consultation MOUs between </w:t>
      </w:r>
      <w:r w:rsidR="00C95A84">
        <w:t>Indigenous</w:t>
      </w:r>
      <w:r w:rsidR="00FC63E1">
        <w:t xml:space="preserve"> Peoples</w:t>
      </w:r>
      <w:r w:rsidR="00813ED7" w:rsidRPr="00925B59">
        <w:t xml:space="preserve"> and governments include a provision for regular funding of consultation by the government.</w:t>
      </w:r>
      <w:r w:rsidR="00813ED7" w:rsidRPr="00925B59">
        <w:rPr>
          <w:rStyle w:val="FootnoteReference"/>
        </w:rPr>
        <w:footnoteReference w:id="286"/>
      </w:r>
    </w:p>
    <w:p w14:paraId="75E45E98" w14:textId="77777777" w:rsidR="00990941" w:rsidRPr="00925B59" w:rsidRDefault="00990941" w:rsidP="00B12B13">
      <w:pPr>
        <w:widowControl w:val="0"/>
        <w:autoSpaceDE w:val="0"/>
        <w:autoSpaceDN w:val="0"/>
        <w:adjustRightInd w:val="0"/>
      </w:pPr>
    </w:p>
    <w:p w14:paraId="25DB5809" w14:textId="6AB58D9B" w:rsidR="0037596B" w:rsidRDefault="001B0E24" w:rsidP="00BB7FB4">
      <w:pPr>
        <w:rPr>
          <w:rFonts w:eastAsia="Times New Roman"/>
          <w:color w:val="000000"/>
          <w:lang w:val="en-US"/>
        </w:rPr>
      </w:pPr>
      <w:r>
        <w:rPr>
          <w:lang w:val="en-US"/>
        </w:rPr>
        <w:t xml:space="preserve">An important aspect of ongoing engagement includes the use of Indigenous Knowledge on an ongoing basis, as well. </w:t>
      </w:r>
      <w:r w:rsidR="00990941" w:rsidRPr="00925B59">
        <w:rPr>
          <w:lang w:val="en-US"/>
        </w:rPr>
        <w:t xml:space="preserve">Although </w:t>
      </w:r>
      <w:r w:rsidR="00592EB2" w:rsidRPr="00925B59">
        <w:rPr>
          <w:lang w:val="en-US"/>
        </w:rPr>
        <w:t>I</w:t>
      </w:r>
      <w:r w:rsidR="006D0171">
        <w:rPr>
          <w:lang w:val="en-US"/>
        </w:rPr>
        <w:t xml:space="preserve">ndigenous </w:t>
      </w:r>
      <w:r w:rsidR="00592EB2" w:rsidRPr="00925B59">
        <w:rPr>
          <w:lang w:val="en-US"/>
        </w:rPr>
        <w:t>K</w:t>
      </w:r>
      <w:r w:rsidR="006D0171">
        <w:rPr>
          <w:lang w:val="en-US"/>
        </w:rPr>
        <w:t>nowledge</w:t>
      </w:r>
      <w:r w:rsidR="00990941" w:rsidRPr="00925B59">
        <w:rPr>
          <w:lang w:val="en-US"/>
        </w:rPr>
        <w:t xml:space="preserve"> is most often consid</w:t>
      </w:r>
      <w:r w:rsidR="006D0171">
        <w:rPr>
          <w:lang w:val="en-US"/>
        </w:rPr>
        <w:t>ered during impact assessment, it</w:t>
      </w:r>
      <w:r w:rsidR="00813ED7" w:rsidRPr="00925B59">
        <w:rPr>
          <w:lang w:val="en-US"/>
        </w:rPr>
        <w:t xml:space="preserve"> </w:t>
      </w:r>
      <w:r w:rsidR="00990941" w:rsidRPr="00925B59">
        <w:rPr>
          <w:lang w:val="en-US"/>
        </w:rPr>
        <w:t xml:space="preserve">is best </w:t>
      </w:r>
      <w:r w:rsidR="00101317">
        <w:rPr>
          <w:lang w:val="en-US"/>
        </w:rPr>
        <w:t>utilized in collaboration with science</w:t>
      </w:r>
      <w:r w:rsidR="00101317" w:rsidRPr="00925B59">
        <w:rPr>
          <w:lang w:val="en-US"/>
        </w:rPr>
        <w:t xml:space="preserve"> through </w:t>
      </w:r>
      <w:r w:rsidR="00101317">
        <w:rPr>
          <w:lang w:val="en-US"/>
        </w:rPr>
        <w:t xml:space="preserve">a participatory approach. Such an approach requires a partnership between a given Indigenous community and researchers </w:t>
      </w:r>
      <w:r w:rsidR="006556CC">
        <w:rPr>
          <w:lang w:val="en-US"/>
        </w:rPr>
        <w:t>which</w:t>
      </w:r>
      <w:r w:rsidR="00101317" w:rsidRPr="00925B59">
        <w:rPr>
          <w:lang w:val="en-US"/>
        </w:rPr>
        <w:t xml:space="preserve"> </w:t>
      </w:r>
      <w:r w:rsidR="00101317">
        <w:rPr>
          <w:lang w:val="en-US"/>
        </w:rPr>
        <w:t>continue</w:t>
      </w:r>
      <w:r w:rsidR="006556CC">
        <w:rPr>
          <w:lang w:val="en-US"/>
        </w:rPr>
        <w:t xml:space="preserve">s through </w:t>
      </w:r>
      <w:r w:rsidR="00101317" w:rsidRPr="00925B59">
        <w:rPr>
          <w:lang w:val="en-US"/>
        </w:rPr>
        <w:t>all stages of decision-making</w:t>
      </w:r>
      <w:r w:rsidR="00990941" w:rsidRPr="00925B59">
        <w:rPr>
          <w:lang w:val="en-US"/>
        </w:rPr>
        <w:t>.</w:t>
      </w:r>
      <w:r w:rsidR="00990941" w:rsidRPr="00925B59">
        <w:rPr>
          <w:rStyle w:val="FootnoteReference"/>
          <w:lang w:val="en-US"/>
        </w:rPr>
        <w:footnoteReference w:id="287"/>
      </w:r>
      <w:r w:rsidR="00990941" w:rsidRPr="00925B59">
        <w:rPr>
          <w:lang w:val="en-US"/>
        </w:rPr>
        <w:t xml:space="preserve"> </w:t>
      </w:r>
      <w:r w:rsidR="00592EB2" w:rsidRPr="00925B59">
        <w:rPr>
          <w:lang w:val="en-US"/>
        </w:rPr>
        <w:t>For example, as the Arctic Bio</w:t>
      </w:r>
      <w:r w:rsidR="00382343">
        <w:rPr>
          <w:lang w:val="en-US"/>
        </w:rPr>
        <w:t>diversity Assessment recommends that the Arctic Council</w:t>
      </w:r>
      <w:r w:rsidR="00592EB2" w:rsidRPr="00925B59">
        <w:rPr>
          <w:lang w:val="en-US"/>
        </w:rPr>
        <w:t xml:space="preserve"> “</w:t>
      </w:r>
      <w:r w:rsidR="00592EB2" w:rsidRPr="00925B59">
        <w:rPr>
          <w:rFonts w:eastAsia="Times New Roman"/>
          <w:color w:val="000000"/>
          <w:lang w:val="en-US"/>
        </w:rPr>
        <w:t xml:space="preserve">Recognize the value of traditional </w:t>
      </w:r>
      <w:r w:rsidR="00592EB2" w:rsidRPr="00925B59">
        <w:rPr>
          <w:rFonts w:eastAsia="Times New Roman"/>
          <w:color w:val="000000"/>
          <w:lang w:val="en-US"/>
        </w:rPr>
        <w:lastRenderedPageBreak/>
        <w:t>ecological knowledge and work to further integrate it into the assessment, planning and management of Arctic biodiversity.”</w:t>
      </w:r>
      <w:r w:rsidR="00592EB2" w:rsidRPr="00925B59">
        <w:rPr>
          <w:rStyle w:val="FootnoteReference"/>
          <w:rFonts w:eastAsia="Times New Roman"/>
          <w:color w:val="000000"/>
          <w:lang w:val="en-US"/>
        </w:rPr>
        <w:footnoteReference w:id="288"/>
      </w:r>
      <w:r w:rsidR="002614F7" w:rsidRPr="00925B59">
        <w:rPr>
          <w:rFonts w:eastAsia="Times New Roman"/>
          <w:color w:val="000000"/>
          <w:lang w:val="en-US"/>
        </w:rPr>
        <w:t xml:space="preserve"> </w:t>
      </w:r>
      <w:r w:rsidR="00A76A62">
        <w:rPr>
          <w:rFonts w:eastAsia="Times New Roman"/>
          <w:color w:val="000000"/>
          <w:lang w:val="en-US"/>
        </w:rPr>
        <w:t>T</w:t>
      </w:r>
      <w:r w:rsidR="00A76A62" w:rsidRPr="00925B59">
        <w:rPr>
          <w:rFonts w:eastAsia="Times New Roman"/>
          <w:color w:val="000000"/>
          <w:lang w:val="en-US"/>
        </w:rPr>
        <w:t xml:space="preserve">o facilitate a more systematic inclusion of </w:t>
      </w:r>
      <w:r w:rsidR="00A76A62">
        <w:rPr>
          <w:rFonts w:eastAsia="Times New Roman"/>
          <w:color w:val="000000"/>
          <w:lang w:val="en-US"/>
        </w:rPr>
        <w:t>Indigenous Knowledge, t</w:t>
      </w:r>
      <w:r w:rsidR="002614F7" w:rsidRPr="00925B59">
        <w:rPr>
          <w:rFonts w:eastAsia="Times New Roman"/>
          <w:color w:val="000000"/>
          <w:lang w:val="en-US"/>
        </w:rPr>
        <w:t xml:space="preserve">he Sustainable Development Working Group recommends that </w:t>
      </w:r>
      <w:r w:rsidR="00262DEA">
        <w:rPr>
          <w:rFonts w:eastAsia="Times New Roman"/>
          <w:color w:val="000000"/>
          <w:lang w:val="en-US"/>
        </w:rPr>
        <w:t>Permanent Participants</w:t>
      </w:r>
      <w:r w:rsidR="00262DEA" w:rsidRPr="00925B59">
        <w:rPr>
          <w:rFonts w:eastAsia="Times New Roman"/>
          <w:color w:val="000000"/>
          <w:lang w:val="en-US"/>
        </w:rPr>
        <w:t xml:space="preserve"> </w:t>
      </w:r>
      <w:r w:rsidR="00262DEA">
        <w:rPr>
          <w:rFonts w:eastAsia="Times New Roman"/>
          <w:color w:val="000000"/>
          <w:lang w:val="en-US"/>
        </w:rPr>
        <w:t xml:space="preserve">could develop </w:t>
      </w:r>
      <w:r w:rsidR="002614F7" w:rsidRPr="00925B59">
        <w:rPr>
          <w:rFonts w:eastAsia="Times New Roman"/>
          <w:color w:val="000000"/>
          <w:lang w:val="en-US"/>
        </w:rPr>
        <w:t>consensus</w:t>
      </w:r>
      <w:r w:rsidR="00262DEA">
        <w:rPr>
          <w:rFonts w:eastAsia="Times New Roman"/>
          <w:color w:val="000000"/>
          <w:lang w:val="en-US"/>
        </w:rPr>
        <w:t>-based guidelines and processes.</w:t>
      </w:r>
      <w:r w:rsidR="002614F7" w:rsidRPr="00925B59">
        <w:rPr>
          <w:rStyle w:val="FootnoteReference"/>
          <w:rFonts w:eastAsia="Times New Roman"/>
          <w:color w:val="000000"/>
          <w:lang w:val="en-US"/>
        </w:rPr>
        <w:footnoteReference w:id="289"/>
      </w:r>
    </w:p>
    <w:p w14:paraId="2E6E699B" w14:textId="77777777" w:rsidR="00BB7FB4" w:rsidRPr="00BB7FB4" w:rsidRDefault="00BB7FB4" w:rsidP="00BB7FB4">
      <w:pPr>
        <w:rPr>
          <w:rFonts w:eastAsia="Times New Roman"/>
          <w:color w:val="000000"/>
          <w:lang w:val="en-US"/>
        </w:rPr>
      </w:pPr>
    </w:p>
    <w:p w14:paraId="2282F5FF" w14:textId="0FF065ED" w:rsidR="00B50427" w:rsidRPr="00D427DE" w:rsidRDefault="00C741B0" w:rsidP="00D427DE">
      <w:pPr>
        <w:pStyle w:val="Heading2"/>
        <w:numPr>
          <w:ilvl w:val="0"/>
          <w:numId w:val="20"/>
        </w:numPr>
        <w:rPr>
          <w:rFonts w:ascii="Times New Roman" w:hAnsi="Times New Roman" w:cs="Times New Roman"/>
          <w:color w:val="auto"/>
          <w:sz w:val="24"/>
          <w:szCs w:val="24"/>
          <w:u w:val="single"/>
        </w:rPr>
      </w:pPr>
      <w:bookmarkStart w:id="91" w:name="_Toc334125713"/>
      <w:r w:rsidRPr="00D427DE">
        <w:rPr>
          <w:rFonts w:ascii="Times New Roman" w:hAnsi="Times New Roman" w:cs="Times New Roman"/>
          <w:color w:val="auto"/>
          <w:sz w:val="24"/>
          <w:szCs w:val="24"/>
          <w:u w:val="single"/>
        </w:rPr>
        <w:t>A good faith intent to reach consensus</w:t>
      </w:r>
      <w:bookmarkEnd w:id="91"/>
      <w:r w:rsidR="00B50427" w:rsidRPr="00D427DE">
        <w:rPr>
          <w:rFonts w:ascii="Times New Roman" w:hAnsi="Times New Roman" w:cs="Times New Roman"/>
          <w:color w:val="auto"/>
          <w:sz w:val="24"/>
          <w:szCs w:val="24"/>
          <w:u w:val="single"/>
        </w:rPr>
        <w:t xml:space="preserve"> </w:t>
      </w:r>
    </w:p>
    <w:p w14:paraId="1523EAD1" w14:textId="77777777" w:rsidR="00B50427" w:rsidRPr="00925B59" w:rsidRDefault="00B50427" w:rsidP="00B12B13">
      <w:pPr>
        <w:pStyle w:val="ListParagraph"/>
      </w:pPr>
    </w:p>
    <w:p w14:paraId="4D063C22" w14:textId="7DFBC97B" w:rsidR="00F2639B" w:rsidRDefault="00A058FD" w:rsidP="00FD0FCB">
      <w:pPr>
        <w:rPr>
          <w:lang w:val="en-US"/>
        </w:rPr>
      </w:pPr>
      <w:r>
        <w:t>Engagement</w:t>
      </w:r>
      <w:r w:rsidR="00B50427" w:rsidRPr="00925B59">
        <w:t xml:space="preserve"> is “more than sitting there and listening</w:t>
      </w:r>
      <w:r>
        <w:t>.”</w:t>
      </w:r>
      <w:r w:rsidR="00B50427" w:rsidRPr="00925B59">
        <w:rPr>
          <w:rStyle w:val="FootnoteReference"/>
        </w:rPr>
        <w:footnoteReference w:id="290"/>
      </w:r>
      <w:r w:rsidR="00B50427" w:rsidRPr="00925B59">
        <w:t xml:space="preserve"> </w:t>
      </w:r>
      <w:r>
        <w:t>Rather, meaningful engagement includes taking action in response to the information learned during engagement</w:t>
      </w:r>
      <w:r w:rsidR="009F3E85" w:rsidRPr="00925B59">
        <w:t>.</w:t>
      </w:r>
      <w:r w:rsidR="009F3E85" w:rsidRPr="00925B59">
        <w:rPr>
          <w:rStyle w:val="FootnoteReference"/>
        </w:rPr>
        <w:footnoteReference w:id="291"/>
      </w:r>
      <w:r w:rsidR="00F96570">
        <w:t xml:space="preserve"> Thus, </w:t>
      </w:r>
      <w:r w:rsidR="005C5ED0">
        <w:t>the engagement process is successful if it affects the ultimate decision. E</w:t>
      </w:r>
      <w:r w:rsidR="00D010B0">
        <w:t>ngagement</w:t>
      </w:r>
      <w:r w:rsidR="00B50427" w:rsidRPr="00925B59">
        <w:t xml:space="preserve"> </w:t>
      </w:r>
      <w:r w:rsidR="005C5ED0">
        <w:t xml:space="preserve">is also more </w:t>
      </w:r>
      <w:r w:rsidR="00B50427" w:rsidRPr="00925B59">
        <w:t>meaningful if all parties engage with the intent of finding a mutually agreeable resolution to concerns.</w:t>
      </w:r>
      <w:r w:rsidR="00B50427" w:rsidRPr="00925B59">
        <w:rPr>
          <w:rStyle w:val="FootnoteReference"/>
        </w:rPr>
        <w:footnoteReference w:id="292"/>
      </w:r>
      <w:r w:rsidR="00B50427" w:rsidRPr="00925B59">
        <w:t xml:space="preserve"> </w:t>
      </w:r>
      <w:r w:rsidR="00911883" w:rsidRPr="00925B59">
        <w:t>From the perspective of all parties, this can be understood as collaboration, which is a key element identified in the quantitative analysis</w:t>
      </w:r>
      <w:r w:rsidR="00B45FC3">
        <w:t xml:space="preserve"> conducted for the MEMA project</w:t>
      </w:r>
      <w:r w:rsidR="00911883" w:rsidRPr="00925B59">
        <w:t>.</w:t>
      </w:r>
      <w:r w:rsidR="00911883" w:rsidRPr="00925B59">
        <w:rPr>
          <w:rStyle w:val="FootnoteReference"/>
        </w:rPr>
        <w:footnoteReference w:id="293"/>
      </w:r>
      <w:r w:rsidR="00911883" w:rsidRPr="00925B59">
        <w:t xml:space="preserve"> </w:t>
      </w:r>
      <w:r w:rsidR="003D4C84" w:rsidRPr="00925B59">
        <w:t>From the perspective of the entity desiring to conduct activities in the Arctic, t</w:t>
      </w:r>
      <w:r w:rsidR="00B50427" w:rsidRPr="00925B59">
        <w:t xml:space="preserve">his is also understood as </w:t>
      </w:r>
      <w:r w:rsidR="00F96570">
        <w:t>engagement</w:t>
      </w:r>
      <w:r w:rsidR="00B50427" w:rsidRPr="00925B59">
        <w:t xml:space="preserve"> with the objective of seeking consent, which </w:t>
      </w:r>
      <w:r w:rsidR="00B50427" w:rsidRPr="00925B59">
        <w:rPr>
          <w:color w:val="1F1F1F"/>
        </w:rPr>
        <w:t>is aimed at “avoiding the imposition of the will of one party over the other, and at instead striving for mutual understanding and consensual decision-making.”</w:t>
      </w:r>
      <w:r w:rsidR="00B50427" w:rsidRPr="00925B59">
        <w:rPr>
          <w:rStyle w:val="FootnoteReference"/>
          <w:color w:val="1F1F1F"/>
        </w:rPr>
        <w:footnoteReference w:id="294"/>
      </w:r>
      <w:r w:rsidR="006F18FE" w:rsidRPr="00925B59">
        <w:rPr>
          <w:color w:val="1F1F1F"/>
        </w:rPr>
        <w:t xml:space="preserve"> ILO</w:t>
      </w:r>
      <w:r w:rsidR="0042786B">
        <w:rPr>
          <w:color w:val="1F1F1F"/>
        </w:rPr>
        <w:t xml:space="preserve"> N</w:t>
      </w:r>
      <w:r w:rsidR="00795CA5">
        <w:rPr>
          <w:color w:val="1F1F1F"/>
        </w:rPr>
        <w:t>o.</w:t>
      </w:r>
      <w:r w:rsidR="006F18FE" w:rsidRPr="00925B59">
        <w:rPr>
          <w:color w:val="1F1F1F"/>
        </w:rPr>
        <w:t xml:space="preserve"> 169 speci</w:t>
      </w:r>
      <w:r w:rsidR="008E459D">
        <w:rPr>
          <w:color w:val="1F1F1F"/>
        </w:rPr>
        <w:t xml:space="preserve">fies that engagement </w:t>
      </w:r>
      <w:r w:rsidR="006F18FE" w:rsidRPr="00925B59">
        <w:rPr>
          <w:color w:val="1F1F1F"/>
        </w:rPr>
        <w:t>should take place “</w:t>
      </w:r>
      <w:r w:rsidR="006F18FE" w:rsidRPr="00925B59">
        <w:rPr>
          <w:iCs/>
          <w:color w:val="1D1D1D"/>
          <w:lang w:val="en-US"/>
        </w:rPr>
        <w:t>with the objective of achieving agreement or consent to the proposed measures</w:t>
      </w:r>
      <w:r w:rsidR="006F18FE" w:rsidRPr="00925B59">
        <w:rPr>
          <w:lang w:val="en-US"/>
        </w:rPr>
        <w:t>.”</w:t>
      </w:r>
      <w:r w:rsidR="006F18FE" w:rsidRPr="00925B59">
        <w:rPr>
          <w:rStyle w:val="FootnoteReference"/>
          <w:lang w:val="en-US"/>
        </w:rPr>
        <w:footnoteReference w:id="295"/>
      </w:r>
      <w:r w:rsidR="0037596B" w:rsidRPr="00925B59">
        <w:rPr>
          <w:lang w:val="en-US"/>
        </w:rPr>
        <w:t xml:space="preserve"> </w:t>
      </w:r>
      <w:r w:rsidR="00F2639B">
        <w:rPr>
          <w:lang w:val="en-US"/>
        </w:rPr>
        <w:t>Some national policies also emphasize the importance of consensus.</w:t>
      </w:r>
      <w:r w:rsidR="00F2639B">
        <w:rPr>
          <w:rStyle w:val="FootnoteReference"/>
          <w:lang w:val="en-US"/>
        </w:rPr>
        <w:footnoteReference w:id="296"/>
      </w:r>
    </w:p>
    <w:p w14:paraId="75CCABE8" w14:textId="77777777" w:rsidR="00F2639B" w:rsidRDefault="00F2639B" w:rsidP="00FD0FCB">
      <w:pPr>
        <w:rPr>
          <w:lang w:val="en-US"/>
        </w:rPr>
      </w:pPr>
    </w:p>
    <w:p w14:paraId="73D2ED51" w14:textId="67D960B6" w:rsidR="00576DA1" w:rsidRDefault="00576DA1" w:rsidP="00FD0FCB">
      <w:pPr>
        <w:rPr>
          <w:rFonts w:eastAsia="Times New Roman"/>
          <w:color w:val="000000"/>
          <w:lang w:val="en-US"/>
        </w:rPr>
      </w:pPr>
      <w:r>
        <w:t>The Arctic Council supports consen</w:t>
      </w:r>
      <w:r w:rsidR="009B06B5">
        <w:t>sus based decision-</w:t>
      </w:r>
      <w:r>
        <w:t>making and takes the views of Permanent Participants into account, though they do not hav</w:t>
      </w:r>
      <w:r w:rsidR="0029464B">
        <w:t xml:space="preserve">e a formal vote. Arctic Council </w:t>
      </w:r>
      <w:r>
        <w:t xml:space="preserve">recommendations emphasize the need to accommodate </w:t>
      </w:r>
      <w:r w:rsidR="00EB49D4" w:rsidRPr="00925B59">
        <w:t xml:space="preserve">the traditional and cultural needs, values and practices of </w:t>
      </w:r>
      <w:r w:rsidR="00C95A84">
        <w:t>Indigenous</w:t>
      </w:r>
      <w:r w:rsidR="00FC63E1">
        <w:t xml:space="preserve"> Peoples</w:t>
      </w:r>
      <w:r w:rsidR="00EB49D4" w:rsidRPr="00925B59">
        <w:t>.</w:t>
      </w:r>
      <w:r w:rsidR="00EB49D4" w:rsidRPr="00925B59">
        <w:rPr>
          <w:rStyle w:val="FootnoteReference"/>
        </w:rPr>
        <w:footnoteReference w:id="297"/>
      </w:r>
      <w:r w:rsidR="00EB49D4" w:rsidRPr="00925B59">
        <w:t xml:space="preserve"> </w:t>
      </w:r>
      <w:r>
        <w:t>For example, t</w:t>
      </w:r>
      <w:r w:rsidR="00A83795" w:rsidRPr="00925B59">
        <w:t xml:space="preserve">he Arctic Offshore Oil and Gas Guidelines advises States to </w:t>
      </w:r>
      <w:r w:rsidR="00A83795" w:rsidRPr="00925B59">
        <w:rPr>
          <w:rFonts w:eastAsia="Times New Roman"/>
          <w:color w:val="000000"/>
          <w:lang w:val="en-US"/>
        </w:rPr>
        <w:t xml:space="preserve">consult and cooperate with the </w:t>
      </w:r>
      <w:r w:rsidR="00C95A84">
        <w:rPr>
          <w:rFonts w:eastAsia="Times New Roman"/>
          <w:color w:val="000000"/>
          <w:lang w:val="en-US"/>
        </w:rPr>
        <w:t>Indigenous</w:t>
      </w:r>
      <w:r w:rsidR="00FC63E1">
        <w:rPr>
          <w:rFonts w:eastAsia="Times New Roman"/>
          <w:color w:val="000000"/>
          <w:lang w:val="en-US"/>
        </w:rPr>
        <w:t xml:space="preserve"> Peoples</w:t>
      </w:r>
      <w:r w:rsidR="00A83795" w:rsidRPr="00925B59">
        <w:rPr>
          <w:rFonts w:eastAsia="Times New Roman"/>
          <w:color w:val="000000"/>
          <w:lang w:val="en-US"/>
        </w:rPr>
        <w:t xml:space="preserve"> </w:t>
      </w:r>
      <w:r w:rsidR="0082652D" w:rsidRPr="00925B59">
        <w:rPr>
          <w:rFonts w:eastAsia="Times New Roman"/>
          <w:color w:val="000000"/>
          <w:lang w:val="en-US"/>
        </w:rPr>
        <w:t>“</w:t>
      </w:r>
      <w:r w:rsidR="00A83795" w:rsidRPr="00925B59">
        <w:rPr>
          <w:rFonts w:eastAsia="Times New Roman"/>
          <w:color w:val="000000"/>
          <w:lang w:val="en-US"/>
        </w:rPr>
        <w:t>to understand and integrate their needs and concerns with any project affecting their lands or</w:t>
      </w:r>
      <w:r w:rsidR="0082652D" w:rsidRPr="00925B59">
        <w:rPr>
          <w:rFonts w:eastAsia="Times New Roman"/>
          <w:color w:val="000000"/>
          <w:lang w:val="en-US"/>
        </w:rPr>
        <w:t xml:space="preserve"> territories and other resources. . .”</w:t>
      </w:r>
      <w:r w:rsidR="00A83795" w:rsidRPr="00925B59">
        <w:rPr>
          <w:rStyle w:val="FootnoteReference"/>
          <w:color w:val="1A1718"/>
        </w:rPr>
        <w:footnoteReference w:id="298"/>
      </w:r>
      <w:r w:rsidR="0082652D" w:rsidRPr="00925B59">
        <w:rPr>
          <w:rFonts w:eastAsia="Times New Roman"/>
          <w:color w:val="000000"/>
          <w:lang w:val="en-US"/>
        </w:rPr>
        <w:t xml:space="preserve"> </w:t>
      </w:r>
      <w:r>
        <w:rPr>
          <w:rFonts w:eastAsia="Times New Roman"/>
          <w:color w:val="000000"/>
          <w:lang w:val="en-US"/>
        </w:rPr>
        <w:t xml:space="preserve">Arctic Council recommendations also emphasize the importance of mitigating </w:t>
      </w:r>
      <w:r w:rsidR="00B247DE">
        <w:rPr>
          <w:rFonts w:eastAsia="Times New Roman"/>
          <w:color w:val="000000"/>
          <w:lang w:val="en-US"/>
        </w:rPr>
        <w:t xml:space="preserve">negative </w:t>
      </w:r>
      <w:r>
        <w:rPr>
          <w:rFonts w:eastAsia="Times New Roman"/>
          <w:color w:val="000000"/>
          <w:lang w:val="en-US"/>
        </w:rPr>
        <w:t>impacts</w:t>
      </w:r>
      <w:r w:rsidR="00B247DE">
        <w:rPr>
          <w:rFonts w:eastAsia="Times New Roman"/>
          <w:color w:val="000000"/>
          <w:lang w:val="en-US"/>
        </w:rPr>
        <w:t xml:space="preserve"> to Indigenous Peoples</w:t>
      </w:r>
      <w:r>
        <w:rPr>
          <w:rFonts w:eastAsia="Times New Roman"/>
          <w:color w:val="000000"/>
          <w:lang w:val="en-US"/>
        </w:rPr>
        <w:t>.</w:t>
      </w:r>
      <w:r w:rsidR="00B247DE">
        <w:rPr>
          <w:rStyle w:val="FootnoteReference"/>
          <w:rFonts w:eastAsia="Times New Roman"/>
          <w:color w:val="000000"/>
          <w:lang w:val="en-US"/>
        </w:rPr>
        <w:footnoteReference w:id="299"/>
      </w:r>
    </w:p>
    <w:p w14:paraId="50AE2107" w14:textId="77777777" w:rsidR="00576DA1" w:rsidRDefault="00576DA1" w:rsidP="00FD0FCB">
      <w:pPr>
        <w:rPr>
          <w:rFonts w:eastAsia="Times New Roman"/>
          <w:color w:val="000000"/>
          <w:lang w:val="en-US"/>
        </w:rPr>
      </w:pPr>
    </w:p>
    <w:p w14:paraId="1351BD3E" w14:textId="343665BA" w:rsidR="00EB49D4" w:rsidRPr="003B1979" w:rsidRDefault="00FD0FCB" w:rsidP="003B1979">
      <w:pPr>
        <w:widowControl w:val="0"/>
        <w:autoSpaceDE w:val="0"/>
        <w:autoSpaceDN w:val="0"/>
        <w:adjustRightInd w:val="0"/>
        <w:spacing w:after="240"/>
        <w:rPr>
          <w:rFonts w:ascii="Times" w:hAnsi="Times" w:cs="Times"/>
          <w:lang w:val="en-US"/>
        </w:rPr>
      </w:pPr>
      <w:r w:rsidRPr="00925B59">
        <w:rPr>
          <w:color w:val="1A1718"/>
        </w:rPr>
        <w:t xml:space="preserve">For </w:t>
      </w:r>
      <w:r w:rsidR="00C95A84">
        <w:rPr>
          <w:color w:val="1A1718"/>
        </w:rPr>
        <w:t>Indigenous</w:t>
      </w:r>
      <w:r w:rsidR="00FC63E1">
        <w:rPr>
          <w:color w:val="1A1718"/>
        </w:rPr>
        <w:t xml:space="preserve"> Peoples</w:t>
      </w:r>
      <w:r w:rsidRPr="00925B59">
        <w:rPr>
          <w:color w:val="1A1718"/>
        </w:rPr>
        <w:t xml:space="preserve"> and communities, good faith engagement includes agreeing to participate </w:t>
      </w:r>
      <w:r w:rsidRPr="00925B59">
        <w:rPr>
          <w:color w:val="1A1718"/>
        </w:rPr>
        <w:lastRenderedPageBreak/>
        <w:t>in discussions, identifying the mitigation they seek, and making an effort to reconcile competing interests</w:t>
      </w:r>
      <w:r w:rsidR="004E49BA">
        <w:rPr>
          <w:color w:val="1A1718"/>
        </w:rPr>
        <w:t>.</w:t>
      </w:r>
      <w:r w:rsidRPr="00925B59">
        <w:rPr>
          <w:rStyle w:val="FootnoteReference"/>
          <w:color w:val="1A1718"/>
        </w:rPr>
        <w:footnoteReference w:id="300"/>
      </w:r>
      <w:r w:rsidRPr="00925B59">
        <w:rPr>
          <w:color w:val="1A1718"/>
        </w:rPr>
        <w:t xml:space="preserve"> </w:t>
      </w:r>
      <w:r w:rsidR="004E49BA">
        <w:rPr>
          <w:color w:val="1A1718"/>
        </w:rPr>
        <w:t xml:space="preserve">The obligation to reach consensus is complicated by </w:t>
      </w:r>
      <w:r w:rsidR="00F21C8F">
        <w:rPr>
          <w:color w:val="1A1718"/>
        </w:rPr>
        <w:t>the power dynamics that often exist in Indigenous engagement. When Indigenous Peoples are at a disadvantage, for example because of legal, capacity, v</w:t>
      </w:r>
      <w:r w:rsidR="00D95F08">
        <w:rPr>
          <w:color w:val="1A1718"/>
        </w:rPr>
        <w:t xml:space="preserve">ulnerability or other factors, the unequal positions of power may result in Indigenous Peoples placing less emphasis </w:t>
      </w:r>
      <w:r w:rsidR="00D95F08" w:rsidRPr="003B1979">
        <w:rPr>
          <w:color w:val="1A1718"/>
        </w:rPr>
        <w:t>on consensus. In all cases, t</w:t>
      </w:r>
      <w:r w:rsidR="00F21C8F" w:rsidRPr="003B1979">
        <w:rPr>
          <w:color w:val="1A1718"/>
        </w:rPr>
        <w:t>he objective of reconciling competin</w:t>
      </w:r>
      <w:r w:rsidR="00D95F08" w:rsidRPr="003B1979">
        <w:rPr>
          <w:color w:val="1A1718"/>
        </w:rPr>
        <w:t>g interests should</w:t>
      </w:r>
      <w:r w:rsidR="00F21C8F" w:rsidRPr="003B1979">
        <w:rPr>
          <w:color w:val="1A1718"/>
        </w:rPr>
        <w:t xml:space="preserve"> be subjugated to the need to protect Indigenous rights.</w:t>
      </w:r>
      <w:r w:rsidR="00576DA1" w:rsidRPr="003B1979">
        <w:rPr>
          <w:color w:val="1A1718"/>
        </w:rPr>
        <w:t xml:space="preserve"> </w:t>
      </w:r>
      <w:r w:rsidR="00576DA1" w:rsidRPr="003B1979">
        <w:rPr>
          <w:rFonts w:eastAsia="Times New Roman"/>
          <w:color w:val="000000"/>
          <w:lang w:val="en-US"/>
        </w:rPr>
        <w:t xml:space="preserve">For governments, the objective of reaching consensus </w:t>
      </w:r>
      <w:r w:rsidR="0076445D" w:rsidRPr="003B1979">
        <w:rPr>
          <w:rFonts w:eastAsia="Times New Roman"/>
          <w:color w:val="000000"/>
          <w:lang w:val="en-US"/>
        </w:rPr>
        <w:t>is complicated by the</w:t>
      </w:r>
      <w:r w:rsidR="00576DA1" w:rsidRPr="003B1979">
        <w:rPr>
          <w:rFonts w:eastAsia="Times New Roman"/>
          <w:color w:val="000000"/>
          <w:lang w:val="en-US"/>
        </w:rPr>
        <w:t xml:space="preserve"> government’s responsibility to </w:t>
      </w:r>
      <w:r w:rsidR="00576DA1" w:rsidRPr="003B1979">
        <w:t>take broader societal interests into account.</w:t>
      </w:r>
      <w:r w:rsidR="00576DA1" w:rsidRPr="003B1979">
        <w:rPr>
          <w:rStyle w:val="FootnoteReference"/>
        </w:rPr>
        <w:footnoteReference w:id="301"/>
      </w:r>
      <w:r w:rsidR="00BA26C4" w:rsidRPr="003B1979">
        <w:t xml:space="preserve"> </w:t>
      </w:r>
      <w:r w:rsidR="000D254B" w:rsidRPr="003B1979">
        <w:t xml:space="preserve">Although most rights are not absolute, </w:t>
      </w:r>
      <w:r w:rsidR="003B1979" w:rsidRPr="003B1979">
        <w:t>it</w:t>
      </w:r>
      <w:r w:rsidR="000D254B" w:rsidRPr="003B1979">
        <w:t xml:space="preserve"> is unlikely </w:t>
      </w:r>
      <w:r w:rsidR="003B1979" w:rsidRPr="003B1979">
        <w:t>that even a “</w:t>
      </w:r>
      <w:r w:rsidR="003B1979" w:rsidRPr="003B1979">
        <w:rPr>
          <w:lang w:val="en-US"/>
        </w:rPr>
        <w:t xml:space="preserve">compelling and substantial public interest” can justify a significant infringement of </w:t>
      </w:r>
      <w:r w:rsidR="000D254B" w:rsidRPr="003B1979">
        <w:t xml:space="preserve">Indigenous </w:t>
      </w:r>
      <w:r w:rsidR="003B1979" w:rsidRPr="003B1979">
        <w:t xml:space="preserve">land </w:t>
      </w:r>
      <w:r w:rsidR="000D254B" w:rsidRPr="003B1979">
        <w:t>rights.</w:t>
      </w:r>
      <w:r w:rsidR="003B1979">
        <w:rPr>
          <w:rStyle w:val="FootnoteReference"/>
        </w:rPr>
        <w:footnoteReference w:id="302"/>
      </w:r>
    </w:p>
    <w:p w14:paraId="6CCA4C23" w14:textId="182A5B7D" w:rsidR="00F7281A" w:rsidRDefault="004664FB" w:rsidP="00D8359C">
      <w:pPr>
        <w:widowControl w:val="0"/>
        <w:autoSpaceDE w:val="0"/>
        <w:autoSpaceDN w:val="0"/>
        <w:adjustRightInd w:val="0"/>
        <w:spacing w:after="240"/>
      </w:pPr>
      <w:r w:rsidRPr="003B1979">
        <w:t xml:space="preserve">One way to reconcile </w:t>
      </w:r>
      <w:r w:rsidR="00C95A84" w:rsidRPr="003B1979">
        <w:t>Indigenous</w:t>
      </w:r>
      <w:r w:rsidR="00FC63E1" w:rsidRPr="003B1979">
        <w:t xml:space="preserve"> Peoples</w:t>
      </w:r>
      <w:r w:rsidRPr="003B1979">
        <w:t>’ concerns is</w:t>
      </w:r>
      <w:r w:rsidR="00B50427" w:rsidRPr="003B1979">
        <w:t xml:space="preserve"> thro</w:t>
      </w:r>
      <w:r w:rsidRPr="003B1979">
        <w:t>ugh mitigation and</w:t>
      </w:r>
      <w:r w:rsidR="004A44F2" w:rsidRPr="003B1979">
        <w:t xml:space="preserve"> accommodation</w:t>
      </w:r>
      <w:r w:rsidR="00B50427" w:rsidRPr="003B1979">
        <w:t>.</w:t>
      </w:r>
      <w:r w:rsidR="00B50427" w:rsidRPr="003B1979">
        <w:rPr>
          <w:rStyle w:val="FootnoteReference"/>
        </w:rPr>
        <w:footnoteReference w:id="303"/>
      </w:r>
      <w:r w:rsidR="00B50427" w:rsidRPr="003B1979">
        <w:t xml:space="preserve">  </w:t>
      </w:r>
      <w:r w:rsidRPr="003B1979">
        <w:t xml:space="preserve">Mitigation is more </w:t>
      </w:r>
      <w:r w:rsidR="006B149C" w:rsidRPr="003B1979">
        <w:t xml:space="preserve">likely to be </w:t>
      </w:r>
      <w:r w:rsidRPr="003B1979">
        <w:t>successful</w:t>
      </w:r>
      <w:r w:rsidR="006B149C" w:rsidRPr="003B1979">
        <w:t xml:space="preserve"> if it is built into the initial project design, rather than added as a reaction to impacts that have already occurred. </w:t>
      </w:r>
      <w:r w:rsidR="00FD28B4" w:rsidRPr="003B1979">
        <w:t xml:space="preserve">Addressing a priority </w:t>
      </w:r>
      <w:r w:rsidR="00F330CD">
        <w:t>issue</w:t>
      </w:r>
      <w:r w:rsidR="00FD28B4" w:rsidRPr="003B1979">
        <w:t xml:space="preserve"> identified by the Indigenous Peoples or community provides</w:t>
      </w:r>
      <w:r w:rsidR="00FD28B4">
        <w:t xml:space="preserve"> an incentive for Indigenous Peoples to engage.</w:t>
      </w:r>
      <w:r w:rsidR="00FD28B4" w:rsidRPr="00925B59">
        <w:t xml:space="preserve"> </w:t>
      </w:r>
      <w:r w:rsidR="006B149C" w:rsidRPr="00925B59">
        <w:t xml:space="preserve">In addition, a mutually agreeable solution can best be achieved when information provided by </w:t>
      </w:r>
      <w:r w:rsidR="00C95A84">
        <w:t>Indigenous</w:t>
      </w:r>
      <w:r w:rsidR="00FC63E1">
        <w:t xml:space="preserve"> Peoples</w:t>
      </w:r>
      <w:r w:rsidR="006B149C" w:rsidRPr="00925B59">
        <w:t xml:space="preserve"> </w:t>
      </w:r>
      <w:r w:rsidR="00C51B8D" w:rsidRPr="00925B59">
        <w:t>and communities</w:t>
      </w:r>
      <w:r w:rsidR="00665710" w:rsidRPr="00925B59">
        <w:t xml:space="preserve"> is </w:t>
      </w:r>
      <w:r w:rsidR="00FD28B4">
        <w:t>utilized through a collaborative process throughout</w:t>
      </w:r>
      <w:r w:rsidR="009D02AB">
        <w:t xml:space="preserve"> </w:t>
      </w:r>
      <w:r w:rsidR="006B149C" w:rsidRPr="00925B59">
        <w:t>all stages of the activity, including the design, development, implementation, and revision of activities.</w:t>
      </w:r>
      <w:r w:rsidR="006B149C" w:rsidRPr="00925B59">
        <w:rPr>
          <w:rStyle w:val="FootnoteReference"/>
        </w:rPr>
        <w:footnoteReference w:id="304"/>
      </w:r>
      <w:r w:rsidR="006B149C" w:rsidRPr="00925B59">
        <w:t xml:space="preserve"> </w:t>
      </w:r>
      <w:r w:rsidR="006F17A5" w:rsidRPr="00925B59">
        <w:t>The Arctic Council Arctic Marine Strategic Plan (2015) reco</w:t>
      </w:r>
      <w:r w:rsidR="00BF2337">
        <w:t xml:space="preserve">mmends that the Arctic Council </w:t>
      </w:r>
      <w:r w:rsidR="00BF2337" w:rsidRPr="00925B59">
        <w:rPr>
          <w:rFonts w:eastAsia="Times New Roman"/>
          <w:color w:val="000000"/>
          <w:lang w:val="en-US"/>
        </w:rPr>
        <w:t>improve</w:t>
      </w:r>
      <w:r w:rsidR="006F17A5" w:rsidRPr="00925B59">
        <w:rPr>
          <w:rFonts w:eastAsia="Times New Roman"/>
          <w:color w:val="000000"/>
          <w:lang w:val="en-US"/>
        </w:rPr>
        <w:t xml:space="preserve"> meaningful engagement </w:t>
      </w:r>
      <w:r w:rsidR="00BF2337">
        <w:rPr>
          <w:rFonts w:eastAsia="Times New Roman"/>
          <w:color w:val="000000"/>
          <w:lang w:val="en-US"/>
        </w:rPr>
        <w:t>by using Indigenous Knowledge to avoid or mitigate</w:t>
      </w:r>
      <w:r w:rsidR="006F17A5" w:rsidRPr="00925B59">
        <w:rPr>
          <w:rFonts w:eastAsia="Times New Roman"/>
          <w:color w:val="000000"/>
          <w:lang w:val="en-US"/>
        </w:rPr>
        <w:t xml:space="preserve"> negative </w:t>
      </w:r>
      <w:r w:rsidR="00BF2337">
        <w:rPr>
          <w:rFonts w:eastAsia="Times New Roman"/>
          <w:color w:val="000000"/>
          <w:lang w:val="en-US"/>
        </w:rPr>
        <w:t xml:space="preserve">impacts and maintain or increase </w:t>
      </w:r>
      <w:r w:rsidR="003B385C">
        <w:rPr>
          <w:rFonts w:eastAsia="Times New Roman"/>
          <w:color w:val="000000"/>
          <w:lang w:val="en-US"/>
        </w:rPr>
        <w:t xml:space="preserve">well </w:t>
      </w:r>
      <w:r w:rsidR="006F17A5" w:rsidRPr="00925B59">
        <w:rPr>
          <w:rFonts w:eastAsia="Times New Roman"/>
          <w:color w:val="000000"/>
          <w:lang w:val="en-US"/>
        </w:rPr>
        <w:t>being and socioeconomic opportunities.</w:t>
      </w:r>
      <w:r w:rsidR="006F17A5" w:rsidRPr="00925B59">
        <w:rPr>
          <w:rStyle w:val="FootnoteReference"/>
          <w:rFonts w:eastAsia="Times New Roman"/>
          <w:color w:val="000000"/>
          <w:lang w:val="en-US"/>
        </w:rPr>
        <w:footnoteReference w:id="305"/>
      </w:r>
      <w:r w:rsidR="00FD20F8" w:rsidRPr="00925B59">
        <w:rPr>
          <w:rFonts w:eastAsia="Times New Roman"/>
          <w:color w:val="000000"/>
          <w:lang w:val="en-US"/>
        </w:rPr>
        <w:t xml:space="preserve"> Similarly, the Arctic Offshore Oil and Gas Guidelines recommend th</w:t>
      </w:r>
      <w:r w:rsidR="00B17B0A">
        <w:rPr>
          <w:rFonts w:eastAsia="Times New Roman"/>
          <w:color w:val="000000"/>
          <w:lang w:val="en-US"/>
        </w:rPr>
        <w:t xml:space="preserve">at States consider </w:t>
      </w:r>
      <w:r w:rsidR="006E6F10">
        <w:rPr>
          <w:rFonts w:eastAsia="Times New Roman"/>
          <w:color w:val="000000"/>
          <w:lang w:val="en-US"/>
        </w:rPr>
        <w:t>Indigenous</w:t>
      </w:r>
      <w:r w:rsidR="00B17B0A">
        <w:rPr>
          <w:rFonts w:eastAsia="Times New Roman"/>
          <w:color w:val="000000"/>
          <w:lang w:val="en-US"/>
        </w:rPr>
        <w:t xml:space="preserve"> </w:t>
      </w:r>
      <w:r w:rsidR="00B17B0A" w:rsidRPr="00C8787A">
        <w:rPr>
          <w:rFonts w:eastAsia="Times New Roman"/>
          <w:color w:val="000000"/>
          <w:lang w:val="en-US"/>
        </w:rPr>
        <w:t>K</w:t>
      </w:r>
      <w:r w:rsidR="00FD20F8" w:rsidRPr="00C8787A">
        <w:rPr>
          <w:rFonts w:eastAsia="Times New Roman"/>
          <w:color w:val="000000"/>
          <w:lang w:val="en-US"/>
        </w:rPr>
        <w:t>nowledge when developing mitigation</w:t>
      </w:r>
      <w:r w:rsidR="00C8787A" w:rsidRPr="00C8787A">
        <w:rPr>
          <w:rFonts w:eastAsia="Times New Roman"/>
          <w:color w:val="000000"/>
          <w:lang w:val="en-US"/>
        </w:rPr>
        <w:t xml:space="preserve"> and “</w:t>
      </w:r>
      <w:r w:rsidR="00C8787A" w:rsidRPr="00C8787A">
        <w:rPr>
          <w:lang w:val="en-US"/>
        </w:rPr>
        <w:t>recognize and accommodate the cultural heritage, values, practices, rights and resource use of indigenous residents</w:t>
      </w:r>
      <w:r w:rsidR="00FD20F8" w:rsidRPr="00C8787A">
        <w:rPr>
          <w:rFonts w:eastAsia="Times New Roman"/>
          <w:color w:val="000000"/>
          <w:lang w:val="en-US"/>
        </w:rPr>
        <w:t>.</w:t>
      </w:r>
      <w:r w:rsidR="00FD20F8" w:rsidRPr="00C8787A">
        <w:rPr>
          <w:rStyle w:val="FootnoteReference"/>
          <w:rFonts w:eastAsia="Times New Roman"/>
          <w:color w:val="000000"/>
          <w:lang w:val="en-US"/>
        </w:rPr>
        <w:footnoteReference w:id="306"/>
      </w:r>
    </w:p>
    <w:p w14:paraId="018BF345" w14:textId="71438642" w:rsidR="003A7D7D" w:rsidRPr="00925B59" w:rsidRDefault="001D01FF" w:rsidP="00B12B13">
      <w:r w:rsidRPr="00925B59">
        <w:t xml:space="preserve">When an outside </w:t>
      </w:r>
      <w:r w:rsidR="00FD0FCB" w:rsidRPr="00925B59">
        <w:t>entity</w:t>
      </w:r>
      <w:r w:rsidRPr="00925B59">
        <w:t xml:space="preserve"> </w:t>
      </w:r>
      <w:r w:rsidR="006B149C" w:rsidRPr="00925B59">
        <w:t xml:space="preserve">is responsive to community concerns, it not only helps the </w:t>
      </w:r>
      <w:r w:rsidRPr="00925B59">
        <w:t>entity</w:t>
      </w:r>
      <w:r w:rsidR="006B149C" w:rsidRPr="00925B59">
        <w:t xml:space="preserve"> to fulfill its obligations towards </w:t>
      </w:r>
      <w:r w:rsidR="00C95A84">
        <w:t>Indigenous</w:t>
      </w:r>
      <w:r w:rsidR="00FC63E1">
        <w:t xml:space="preserve"> Peoples</w:t>
      </w:r>
      <w:r w:rsidR="006B149C" w:rsidRPr="00925B59">
        <w:t xml:space="preserve"> but </w:t>
      </w:r>
      <w:r w:rsidRPr="00925B59">
        <w:t>also helps to establish trust and build</w:t>
      </w:r>
      <w:r w:rsidR="006B149C" w:rsidRPr="00925B59">
        <w:t xml:space="preserve"> relationship</w:t>
      </w:r>
      <w:r w:rsidRPr="00925B59">
        <w:t>s</w:t>
      </w:r>
      <w:r w:rsidR="00397EDF">
        <w:t xml:space="preserve"> with </w:t>
      </w:r>
      <w:r w:rsidR="00C95A84">
        <w:t>Indigenous</w:t>
      </w:r>
      <w:r w:rsidR="00FC63E1">
        <w:t xml:space="preserve"> Peoples</w:t>
      </w:r>
      <w:r w:rsidR="006B149C" w:rsidRPr="00925B59">
        <w:t>.</w:t>
      </w:r>
      <w:r w:rsidR="009F54CB" w:rsidRPr="00925B59">
        <w:t xml:space="preserve"> </w:t>
      </w:r>
      <w:r w:rsidR="00053D5B">
        <w:t xml:space="preserve">Some companies set up working </w:t>
      </w:r>
      <w:r w:rsidR="003A7D7D" w:rsidRPr="00925B59">
        <w:t xml:space="preserve">groups to provide a structured forum for designing mitigation. For example, the Sakhalin Energy Investment Company formed working groups of representatives of the company, the local government, and </w:t>
      </w:r>
      <w:r w:rsidR="00C95A84">
        <w:t>Indigenous</w:t>
      </w:r>
      <w:r w:rsidR="00FC63E1">
        <w:t xml:space="preserve"> Peoples</w:t>
      </w:r>
      <w:r w:rsidR="003A7D7D" w:rsidRPr="00925B59">
        <w:t xml:space="preserve"> to provide feedback on its oil drilling plan and mitigation.</w:t>
      </w:r>
      <w:r w:rsidR="00404301" w:rsidRPr="00925B59">
        <w:rPr>
          <w:rStyle w:val="FootnoteReference"/>
        </w:rPr>
        <w:footnoteReference w:id="307"/>
      </w:r>
    </w:p>
    <w:p w14:paraId="71004F71" w14:textId="77777777" w:rsidR="003A7D7D" w:rsidRPr="00925B59" w:rsidRDefault="003A7D7D" w:rsidP="00B12B13"/>
    <w:p w14:paraId="5A928208" w14:textId="4CB455CD" w:rsidR="0049214E" w:rsidRPr="00925B59" w:rsidRDefault="00B50427" w:rsidP="00B12B13">
      <w:pPr>
        <w:widowControl w:val="0"/>
        <w:autoSpaceDE w:val="0"/>
        <w:autoSpaceDN w:val="0"/>
        <w:adjustRightInd w:val="0"/>
        <w:rPr>
          <w:lang w:val="en-US"/>
        </w:rPr>
      </w:pPr>
      <w:r w:rsidRPr="00925B59">
        <w:t xml:space="preserve">If impacts cannot be mitigated, </w:t>
      </w:r>
      <w:r w:rsidR="0049214E" w:rsidRPr="00925B59">
        <w:t xml:space="preserve">companies may decide to forgo the proposed project. For example, in </w:t>
      </w:r>
      <w:r w:rsidR="0049214E" w:rsidRPr="00925B59">
        <w:rPr>
          <w:lang w:val="en-US"/>
        </w:rPr>
        <w:t xml:space="preserve">Russia, an ethnologic study conducted with the help of academic experts commissioned by the Russian Association of </w:t>
      </w:r>
      <w:r w:rsidR="00C95A84">
        <w:rPr>
          <w:lang w:val="en-US"/>
        </w:rPr>
        <w:t>Indigenous</w:t>
      </w:r>
      <w:r w:rsidR="00FC63E1">
        <w:rPr>
          <w:lang w:val="en-US"/>
        </w:rPr>
        <w:t xml:space="preserve"> Peoples</w:t>
      </w:r>
      <w:r w:rsidR="0049214E" w:rsidRPr="00925B59">
        <w:rPr>
          <w:lang w:val="en-US"/>
        </w:rPr>
        <w:t xml:space="preserve"> of the Nor</w:t>
      </w:r>
      <w:r w:rsidR="001B0EE3" w:rsidRPr="00925B59">
        <w:rPr>
          <w:lang w:val="en-US"/>
        </w:rPr>
        <w:t>th (RAIPON) determined that a</w:t>
      </w:r>
      <w:r w:rsidR="0049214E" w:rsidRPr="00925B59">
        <w:rPr>
          <w:lang w:val="en-US"/>
        </w:rPr>
        <w:t xml:space="preserve"> Gazprom gas exploration project in the Yam</w:t>
      </w:r>
      <w:r w:rsidR="001B0EE3" w:rsidRPr="00925B59">
        <w:rPr>
          <w:lang w:val="en-US"/>
        </w:rPr>
        <w:t>al-</w:t>
      </w:r>
      <w:proofErr w:type="spellStart"/>
      <w:r w:rsidR="001B0EE3" w:rsidRPr="00925B59">
        <w:rPr>
          <w:lang w:val="en-US"/>
        </w:rPr>
        <w:t>Nenetz</w:t>
      </w:r>
      <w:proofErr w:type="spellEnd"/>
      <w:r w:rsidR="001B0EE3" w:rsidRPr="00925B59">
        <w:rPr>
          <w:lang w:val="en-US"/>
        </w:rPr>
        <w:t xml:space="preserve"> autonomous district </w:t>
      </w:r>
      <w:r w:rsidR="0049214E" w:rsidRPr="00925B59">
        <w:rPr>
          <w:lang w:val="en-US"/>
        </w:rPr>
        <w:lastRenderedPageBreak/>
        <w:t>would have ne</w:t>
      </w:r>
      <w:r w:rsidR="001B0EE3" w:rsidRPr="00925B59">
        <w:rPr>
          <w:lang w:val="en-US"/>
        </w:rPr>
        <w:t xml:space="preserve">gative effects on the community. As a result, </w:t>
      </w:r>
      <w:r w:rsidR="0049214E" w:rsidRPr="00925B59">
        <w:rPr>
          <w:lang w:val="en-US"/>
        </w:rPr>
        <w:t xml:space="preserve">Gazprom </w:t>
      </w:r>
      <w:r w:rsidR="001B0EE3" w:rsidRPr="00925B59">
        <w:rPr>
          <w:lang w:val="en-US"/>
        </w:rPr>
        <w:t>stopped</w:t>
      </w:r>
      <w:r w:rsidR="0049214E" w:rsidRPr="00925B59">
        <w:rPr>
          <w:lang w:val="en-US"/>
        </w:rPr>
        <w:t xml:space="preserve"> exploration.</w:t>
      </w:r>
      <w:r w:rsidR="001B0EE3" w:rsidRPr="00925B59">
        <w:rPr>
          <w:rStyle w:val="FootnoteReference"/>
          <w:lang w:val="en-US"/>
        </w:rPr>
        <w:footnoteReference w:id="308"/>
      </w:r>
    </w:p>
    <w:p w14:paraId="3CDE8085" w14:textId="77777777" w:rsidR="006B149C" w:rsidRPr="00925B59" w:rsidRDefault="006B149C" w:rsidP="00B12B13"/>
    <w:p w14:paraId="6E53BFD1" w14:textId="5382EE36" w:rsidR="00F65236" w:rsidRDefault="007177AA" w:rsidP="00B12B13">
      <w:r w:rsidRPr="00925B59">
        <w:t xml:space="preserve">When impacts cannot be mitigated but a project proceeds, </w:t>
      </w:r>
      <w:r w:rsidR="00B50427" w:rsidRPr="00925B59">
        <w:t xml:space="preserve">international law require </w:t>
      </w:r>
      <w:r w:rsidR="00C95A84">
        <w:t>Indigenous</w:t>
      </w:r>
      <w:r w:rsidR="00FC63E1">
        <w:t xml:space="preserve"> Peoples</w:t>
      </w:r>
      <w:r w:rsidR="00B50427" w:rsidRPr="00925B59">
        <w:t xml:space="preserve"> to be compensated</w:t>
      </w:r>
      <w:r w:rsidR="0049214E" w:rsidRPr="00925B59">
        <w:t>.</w:t>
      </w:r>
      <w:r w:rsidR="00B50427" w:rsidRPr="00925B59">
        <w:rPr>
          <w:rStyle w:val="FootnoteReference"/>
        </w:rPr>
        <w:footnoteReference w:id="309"/>
      </w:r>
      <w:r w:rsidR="001D01FF" w:rsidRPr="00925B59">
        <w:t xml:space="preserve"> </w:t>
      </w:r>
      <w:r w:rsidR="00276389">
        <w:t>S</w:t>
      </w:r>
      <w:r w:rsidR="00276389" w:rsidRPr="00925B59">
        <w:t>ome countries have implemented this measure at a national level</w:t>
      </w:r>
      <w:r w:rsidR="00276389">
        <w:t xml:space="preserve">. In Russia, compensation must be paid for damage to </w:t>
      </w:r>
      <w:r w:rsidR="00C95A84">
        <w:t>Indigenous</w:t>
      </w:r>
      <w:r w:rsidR="00FC63E1">
        <w:t xml:space="preserve"> Peoples</w:t>
      </w:r>
      <w:r w:rsidR="00276389">
        <w:t xml:space="preserve"> use of natural resources.</w:t>
      </w:r>
      <w:r w:rsidR="00276389">
        <w:rPr>
          <w:rStyle w:val="FootnoteReference"/>
        </w:rPr>
        <w:footnoteReference w:id="310"/>
      </w:r>
      <w:r w:rsidR="00276389">
        <w:t xml:space="preserve"> In Canada</w:t>
      </w:r>
      <w:r w:rsidR="00F65236">
        <w:t xml:space="preserve">, under the Nunavut </w:t>
      </w:r>
      <w:r w:rsidR="00E50ACA">
        <w:t>Land Claim</w:t>
      </w:r>
      <w:r w:rsidR="00F65236">
        <w:t xml:space="preserve"> Agreement, developers are liable for damage to wildlife harvesting of </w:t>
      </w:r>
      <w:r w:rsidR="00C95A84">
        <w:t>Indigenous</w:t>
      </w:r>
      <w:r w:rsidR="00FC63E1">
        <w:t xml:space="preserve"> Peoples</w:t>
      </w:r>
      <w:r w:rsidR="00E021E7">
        <w:t xml:space="preserve">, </w:t>
      </w:r>
      <w:r w:rsidR="008C11F9">
        <w:t xml:space="preserve">to </w:t>
      </w:r>
      <w:r w:rsidR="00E021E7">
        <w:t>water</w:t>
      </w:r>
      <w:r w:rsidR="008C11F9">
        <w:t xml:space="preserve"> quality or quantity, and expropriation of land,</w:t>
      </w:r>
      <w:r w:rsidR="00F65236">
        <w:t xml:space="preserve"> and must pay compensat</w:t>
      </w:r>
      <w:r w:rsidR="008C11F9">
        <w:t>ion for these</w:t>
      </w:r>
      <w:r w:rsidR="00F65236">
        <w:t xml:space="preserve"> damage</w:t>
      </w:r>
      <w:r w:rsidR="008C11F9">
        <w:t>s</w:t>
      </w:r>
      <w:r w:rsidR="00F65236">
        <w:t>.</w:t>
      </w:r>
      <w:r w:rsidR="00F65236">
        <w:rPr>
          <w:rStyle w:val="FootnoteReference"/>
        </w:rPr>
        <w:footnoteReference w:id="311"/>
      </w:r>
      <w:r w:rsidR="00656DB4">
        <w:t xml:space="preserve"> The ICC has identified factors to be considered for compensation to Indigenous Peoples for loss of natural resources and habitat.</w:t>
      </w:r>
      <w:r w:rsidR="00656DB4">
        <w:rPr>
          <w:rStyle w:val="FootnoteReference"/>
        </w:rPr>
        <w:footnoteReference w:id="312"/>
      </w:r>
    </w:p>
    <w:p w14:paraId="001087B6" w14:textId="77777777" w:rsidR="00F65236" w:rsidRDefault="00F65236" w:rsidP="00B12B13"/>
    <w:p w14:paraId="57F5DCB5" w14:textId="5F2BC769" w:rsidR="00B50427" w:rsidRPr="00925B59" w:rsidRDefault="001D01FF" w:rsidP="00B12B13">
      <w:r w:rsidRPr="00925B59">
        <w:t xml:space="preserve">When an entity ensures that </w:t>
      </w:r>
      <w:r w:rsidR="00C95A84">
        <w:t>Indigenous</w:t>
      </w:r>
      <w:r w:rsidR="00FC63E1">
        <w:t xml:space="preserve"> Peoples</w:t>
      </w:r>
      <w:r w:rsidRPr="00925B59">
        <w:t xml:space="preserve"> have consented to the activity, the appropriate compensation will likely be included as part of the granting of consent. Where entities do not ensure consent before proceeding with their activities, the issue of determining whether and how much compensation is warranted remains in the hands of the government or the corporation</w:t>
      </w:r>
      <w:r w:rsidR="00FD0FCB" w:rsidRPr="00925B59">
        <w:t>. Thus, as discussed in mo</w:t>
      </w:r>
      <w:r w:rsidR="00046F1E">
        <w:t>re detail below, consent is a key</w:t>
      </w:r>
      <w:r w:rsidR="00FD0FCB" w:rsidRPr="00925B59">
        <w:t xml:space="preserve"> aspect of engagement.</w:t>
      </w:r>
    </w:p>
    <w:p w14:paraId="1E48B313" w14:textId="77777777" w:rsidR="00B50427" w:rsidRPr="00925B59" w:rsidRDefault="00B50427" w:rsidP="00B12B13">
      <w:pPr>
        <w:rPr>
          <w:color w:val="1A1718"/>
        </w:rPr>
      </w:pPr>
    </w:p>
    <w:p w14:paraId="660AAAFA" w14:textId="4C4C13F8" w:rsidR="00B50427" w:rsidRPr="00870E8A" w:rsidRDefault="00B50427" w:rsidP="00870E8A">
      <w:pPr>
        <w:pStyle w:val="Heading2"/>
        <w:numPr>
          <w:ilvl w:val="0"/>
          <w:numId w:val="20"/>
        </w:numPr>
        <w:rPr>
          <w:rFonts w:ascii="Times New Roman" w:hAnsi="Times New Roman" w:cs="Times New Roman"/>
          <w:color w:val="auto"/>
          <w:sz w:val="24"/>
          <w:szCs w:val="24"/>
          <w:u w:val="single"/>
        </w:rPr>
      </w:pPr>
      <w:bookmarkStart w:id="92" w:name="_Toc334125714"/>
      <w:r w:rsidRPr="00870E8A">
        <w:rPr>
          <w:rFonts w:ascii="Times New Roman" w:hAnsi="Times New Roman" w:cs="Times New Roman"/>
          <w:color w:val="auto"/>
          <w:sz w:val="24"/>
          <w:szCs w:val="24"/>
          <w:u w:val="single"/>
        </w:rPr>
        <w:t xml:space="preserve">Consent </w:t>
      </w:r>
      <w:r w:rsidR="00B6714A" w:rsidRPr="00870E8A">
        <w:rPr>
          <w:rFonts w:ascii="Times New Roman" w:hAnsi="Times New Roman" w:cs="Times New Roman"/>
          <w:color w:val="auto"/>
          <w:sz w:val="24"/>
          <w:szCs w:val="24"/>
          <w:u w:val="single"/>
        </w:rPr>
        <w:t>in some cases</w:t>
      </w:r>
      <w:bookmarkEnd w:id="92"/>
    </w:p>
    <w:p w14:paraId="424E392C" w14:textId="77777777" w:rsidR="00B50427" w:rsidRPr="00925B59" w:rsidRDefault="00B50427" w:rsidP="00B12B13">
      <w:pPr>
        <w:pStyle w:val="ListParagraph"/>
        <w:rPr>
          <w:color w:val="1A1718"/>
        </w:rPr>
      </w:pPr>
    </w:p>
    <w:p w14:paraId="792E1BC5" w14:textId="5BA61193" w:rsidR="00850D33" w:rsidRDefault="00B50427" w:rsidP="00B12B13">
      <w:pPr>
        <w:widowControl w:val="0"/>
        <w:autoSpaceDE w:val="0"/>
        <w:autoSpaceDN w:val="0"/>
        <w:adjustRightInd w:val="0"/>
      </w:pPr>
      <w:r w:rsidRPr="00925B59">
        <w:t>The right to free, prior, and informed consent is rooted in and is intended to protect a number of international human rights, including the right to self-determination, property, health, development, and cultural life.</w:t>
      </w:r>
      <w:r w:rsidRPr="00925B59">
        <w:rPr>
          <w:rStyle w:val="FootnoteReference"/>
        </w:rPr>
        <w:footnoteReference w:id="313"/>
      </w:r>
      <w:r w:rsidR="009608E9" w:rsidRPr="00925B59">
        <w:t xml:space="preserve"> Among governments i</w:t>
      </w:r>
      <w:r w:rsidRPr="00925B59">
        <w:t xml:space="preserve">n the Arctic, “the language and cultural rights of </w:t>
      </w:r>
      <w:r w:rsidR="00C95A84">
        <w:t>Indigenous</w:t>
      </w:r>
      <w:r w:rsidR="00FC63E1">
        <w:t xml:space="preserve"> Peoples</w:t>
      </w:r>
      <w:r w:rsidRPr="00925B59">
        <w:t xml:space="preserve"> are increasingly recognized while a question of land rights remains the subject of a debate.”</w:t>
      </w:r>
      <w:bookmarkStart w:id="93" w:name="_Ref334010069"/>
      <w:r w:rsidRPr="00925B59">
        <w:rPr>
          <w:rStyle w:val="FootnoteReference"/>
        </w:rPr>
        <w:footnoteReference w:id="314"/>
      </w:r>
      <w:bookmarkEnd w:id="93"/>
      <w:r w:rsidRPr="00925B59">
        <w:t xml:space="preserve"> Thus, the issue of consent, which is based in the interconnection of these rights, is also the subject of debate in the region.</w:t>
      </w:r>
      <w:r w:rsidR="00EF7B7C" w:rsidRPr="00925B59">
        <w:t xml:space="preserve"> Under a spectrum analysis, where the proposed activity implicates rights that </w:t>
      </w:r>
      <w:r w:rsidR="00505A99">
        <w:t xml:space="preserve">are </w:t>
      </w:r>
      <w:r w:rsidR="00EF7B7C" w:rsidRPr="00925B59">
        <w:t xml:space="preserve">essential to the survival of the </w:t>
      </w:r>
      <w:r w:rsidR="00C95A84">
        <w:t>Indigenous</w:t>
      </w:r>
      <w:r w:rsidR="00FC63E1">
        <w:t xml:space="preserve"> Peoples</w:t>
      </w:r>
      <w:r w:rsidR="00EF7B7C" w:rsidRPr="00925B59">
        <w:t xml:space="preserve"> or where the impacts on </w:t>
      </w:r>
      <w:r w:rsidR="00C95A84">
        <w:t>Indigenous</w:t>
      </w:r>
      <w:r w:rsidR="00EF7B7C" w:rsidRPr="00925B59">
        <w:t xml:space="preserve"> rights are significant, consent is necessary.</w:t>
      </w:r>
      <w:r w:rsidR="00EF7B7C" w:rsidRPr="00925B59">
        <w:rPr>
          <w:rStyle w:val="FootnoteReference"/>
        </w:rPr>
        <w:footnoteReference w:id="315"/>
      </w:r>
      <w:r w:rsidR="00B34401" w:rsidRPr="00925B59">
        <w:t xml:space="preserve"> </w:t>
      </w:r>
    </w:p>
    <w:p w14:paraId="6413D5F7" w14:textId="77777777" w:rsidR="000B41B5" w:rsidRDefault="000B41B5" w:rsidP="00B12B13">
      <w:pPr>
        <w:widowControl w:val="0"/>
        <w:autoSpaceDE w:val="0"/>
        <w:autoSpaceDN w:val="0"/>
        <w:adjustRightInd w:val="0"/>
      </w:pPr>
    </w:p>
    <w:p w14:paraId="68044F93" w14:textId="3D5D4DA5" w:rsidR="000B41B5" w:rsidRPr="00925B59" w:rsidRDefault="000B41B5" w:rsidP="00B12B13">
      <w:pPr>
        <w:widowControl w:val="0"/>
        <w:autoSpaceDE w:val="0"/>
        <w:autoSpaceDN w:val="0"/>
        <w:adjustRightInd w:val="0"/>
      </w:pPr>
      <w:r>
        <w:t xml:space="preserve">The Arctic Council decision-making process does not require consent by Permanent Participants. However, as a matter of practice, few if any Arctic Council projects proceed with Permanent Participant opposition. Arctic Council </w:t>
      </w:r>
      <w:r w:rsidR="00A45621">
        <w:t xml:space="preserve">recommendations have not </w:t>
      </w:r>
      <w:r>
        <w:t>address the issue of consent.</w:t>
      </w:r>
    </w:p>
    <w:p w14:paraId="2B5F945E" w14:textId="77777777" w:rsidR="00B50427" w:rsidRPr="00925B59" w:rsidRDefault="00B50427" w:rsidP="00B12B13">
      <w:pPr>
        <w:widowControl w:val="0"/>
        <w:autoSpaceDE w:val="0"/>
        <w:autoSpaceDN w:val="0"/>
        <w:adjustRightInd w:val="0"/>
      </w:pPr>
    </w:p>
    <w:p w14:paraId="60E50B68" w14:textId="63625DDA" w:rsidR="006B382E" w:rsidRPr="00925B59" w:rsidRDefault="00B50427" w:rsidP="00B12B13">
      <w:pPr>
        <w:widowControl w:val="0"/>
        <w:autoSpaceDE w:val="0"/>
        <w:autoSpaceDN w:val="0"/>
        <w:adjustRightInd w:val="0"/>
      </w:pPr>
      <w:r w:rsidRPr="00925B59">
        <w:t xml:space="preserve">Consent is a cornerstone of the UN Declaration on the Rights of </w:t>
      </w:r>
      <w:r w:rsidR="00C95A84">
        <w:t>Indigenous</w:t>
      </w:r>
      <w:r w:rsidR="00FC63E1">
        <w:t xml:space="preserve"> Peoples</w:t>
      </w:r>
      <w:r w:rsidR="00FD1B39" w:rsidRPr="00925B59">
        <w:t xml:space="preserve"> and ILO </w:t>
      </w:r>
      <w:r w:rsidR="0093383F">
        <w:t>N</w:t>
      </w:r>
      <w:r w:rsidR="000E66A4">
        <w:t xml:space="preserve">o. </w:t>
      </w:r>
      <w:r w:rsidR="00FD1B39" w:rsidRPr="00925B59">
        <w:t>169</w:t>
      </w:r>
      <w:r w:rsidRPr="00925B59">
        <w:t xml:space="preserve">. Under </w:t>
      </w:r>
      <w:r w:rsidR="00FD1B39" w:rsidRPr="00925B59">
        <w:t>these instruments,</w:t>
      </w:r>
      <w:r w:rsidRPr="00925B59">
        <w:t xml:space="preserve"> consent is required if the proposed activity involves removing </w:t>
      </w:r>
      <w:r w:rsidR="00C95A84">
        <w:lastRenderedPageBreak/>
        <w:t>Indigenous</w:t>
      </w:r>
      <w:r w:rsidR="00FC63E1">
        <w:t xml:space="preserve"> Peoples</w:t>
      </w:r>
      <w:r w:rsidRPr="00925B59">
        <w:t xml:space="preserve"> from their land</w:t>
      </w:r>
      <w:r w:rsidR="00FD1B39" w:rsidRPr="00925B59">
        <w:t>.</w:t>
      </w:r>
      <w:r w:rsidR="00FD1B39" w:rsidRPr="00925B59">
        <w:rPr>
          <w:rStyle w:val="FootnoteReference"/>
        </w:rPr>
        <w:footnoteReference w:id="316"/>
      </w:r>
      <w:r w:rsidRPr="00925B59">
        <w:t xml:space="preserve"> </w:t>
      </w:r>
      <w:r w:rsidR="006B382E" w:rsidRPr="00925B59">
        <w:t>National governments have</w:t>
      </w:r>
      <w:r w:rsidR="00413EAC" w:rsidRPr="00925B59">
        <w:t xml:space="preserve"> incorporated this requirement</w:t>
      </w:r>
      <w:r w:rsidR="006F24E8">
        <w:t>. In Russia</w:t>
      </w:r>
      <w:r w:rsidR="006B382E" w:rsidRPr="00925B59">
        <w:t>, for example,</w:t>
      </w:r>
      <w:r w:rsidR="00DA54FD" w:rsidRPr="00925B59">
        <w:t xml:space="preserve"> lands designated as “territories of traditional use” cannot be developed without </w:t>
      </w:r>
      <w:r w:rsidR="00C95A84">
        <w:t>Indigenous</w:t>
      </w:r>
      <w:r w:rsidR="00FC63E1">
        <w:t xml:space="preserve"> Peoples</w:t>
      </w:r>
      <w:r w:rsidR="00F74999" w:rsidRPr="00925B59">
        <w:t>’</w:t>
      </w:r>
      <w:r w:rsidR="00DA54FD" w:rsidRPr="00925B59">
        <w:t xml:space="preserve"> consent.</w:t>
      </w:r>
      <w:r w:rsidR="00DA54FD" w:rsidRPr="00925B59">
        <w:rPr>
          <w:rStyle w:val="FootnoteReference"/>
        </w:rPr>
        <w:footnoteReference w:id="317"/>
      </w:r>
      <w:r w:rsidR="006B382E" w:rsidRPr="00925B59">
        <w:t xml:space="preserve"> </w:t>
      </w:r>
      <w:r w:rsidR="00DA54FD" w:rsidRPr="00925B59">
        <w:rPr>
          <w:lang w:val="en-US"/>
        </w:rPr>
        <w:t>Other regional laws require consent for specific activities. For example, t</w:t>
      </w:r>
      <w:r w:rsidR="006B382E" w:rsidRPr="00925B59">
        <w:rPr>
          <w:lang w:val="en-US"/>
        </w:rPr>
        <w:t>he Nenets regional law requires consent before land can be seized for industrial purposes.</w:t>
      </w:r>
      <w:r w:rsidR="006B382E" w:rsidRPr="00925B59">
        <w:rPr>
          <w:rStyle w:val="FootnoteReference"/>
          <w:lang w:val="en-US"/>
        </w:rPr>
        <w:footnoteReference w:id="318"/>
      </w:r>
      <w:r w:rsidR="006B382E" w:rsidRPr="00925B59">
        <w:rPr>
          <w:lang w:val="en-US"/>
        </w:rPr>
        <w:t xml:space="preserve"> </w:t>
      </w:r>
      <w:r w:rsidR="00DA7FD8" w:rsidRPr="00925B59">
        <w:rPr>
          <w:lang w:val="en-US"/>
        </w:rPr>
        <w:t xml:space="preserve">The </w:t>
      </w:r>
      <w:r w:rsidR="00E652FF" w:rsidRPr="00925B59">
        <w:rPr>
          <w:lang w:val="en-US"/>
        </w:rPr>
        <w:t xml:space="preserve">Nenets can refuse consent if </w:t>
      </w:r>
      <w:r w:rsidR="00DA7FD8" w:rsidRPr="00925B59">
        <w:rPr>
          <w:lang w:val="en-US"/>
        </w:rPr>
        <w:t xml:space="preserve">the proposed use creates a direct threat to the health and safety of the population and environment, to the preservation and development of a traditional way of life, or to the economy of small-numbered </w:t>
      </w:r>
      <w:r w:rsidR="00C95A84">
        <w:rPr>
          <w:lang w:val="en-US"/>
        </w:rPr>
        <w:t>Indigenous</w:t>
      </w:r>
      <w:r w:rsidR="00FC63E1">
        <w:rPr>
          <w:lang w:val="en-US"/>
        </w:rPr>
        <w:t xml:space="preserve"> Peoples</w:t>
      </w:r>
      <w:r w:rsidR="00DA7FD8" w:rsidRPr="00925B59">
        <w:rPr>
          <w:lang w:val="en-US"/>
        </w:rPr>
        <w:t xml:space="preserve"> of the North.</w:t>
      </w:r>
      <w:r w:rsidR="00DA7FD8" w:rsidRPr="00925B59">
        <w:rPr>
          <w:rStyle w:val="FootnoteReference"/>
          <w:lang w:val="en-US"/>
        </w:rPr>
        <w:footnoteReference w:id="319"/>
      </w:r>
      <w:r w:rsidR="00413EAC" w:rsidRPr="00925B59">
        <w:t xml:space="preserve"> UNDRIP also requires consent if hazar</w:t>
      </w:r>
      <w:r w:rsidR="0043083B">
        <w:t>dous materials will be stored</w:t>
      </w:r>
      <w:r w:rsidR="00413EAC" w:rsidRPr="00925B59">
        <w:t xml:space="preserve"> or disposed </w:t>
      </w:r>
      <w:r w:rsidR="0043083B">
        <w:t xml:space="preserve">of </w:t>
      </w:r>
      <w:r w:rsidR="00413EAC" w:rsidRPr="00925B59">
        <w:t>on their land.</w:t>
      </w:r>
      <w:r w:rsidR="00413EAC" w:rsidRPr="00925B59">
        <w:rPr>
          <w:rStyle w:val="FootnoteReference"/>
        </w:rPr>
        <w:footnoteReference w:id="320"/>
      </w:r>
      <w:r w:rsidR="00F74999" w:rsidRPr="00925B59">
        <w:t xml:space="preserve"> </w:t>
      </w:r>
    </w:p>
    <w:p w14:paraId="09D74D9E" w14:textId="77777777" w:rsidR="00695A56" w:rsidRPr="00925B59" w:rsidRDefault="00695A56" w:rsidP="00B12B13">
      <w:pPr>
        <w:widowControl w:val="0"/>
        <w:autoSpaceDE w:val="0"/>
        <w:autoSpaceDN w:val="0"/>
        <w:adjustRightInd w:val="0"/>
      </w:pPr>
    </w:p>
    <w:p w14:paraId="11B42000" w14:textId="27E9E862" w:rsidR="00722203" w:rsidRPr="008F63E6" w:rsidRDefault="00FC4574" w:rsidP="008F63E6">
      <w:pPr>
        <w:widowControl w:val="0"/>
        <w:autoSpaceDE w:val="0"/>
        <w:autoSpaceDN w:val="0"/>
        <w:adjustRightInd w:val="0"/>
        <w:spacing w:after="240"/>
      </w:pPr>
      <w:r>
        <w:t xml:space="preserve">In addition, </w:t>
      </w:r>
      <w:r w:rsidR="00C95A84">
        <w:t>Indigenous</w:t>
      </w:r>
      <w:r w:rsidR="00FC63E1">
        <w:t xml:space="preserve"> Peoples</w:t>
      </w:r>
      <w:r w:rsidR="00D14981" w:rsidRPr="00925B59">
        <w:t xml:space="preserve"> have the right to their </w:t>
      </w:r>
      <w:r w:rsidR="00D14981" w:rsidRPr="00925B59">
        <w:rPr>
          <w:lang w:val="en-US"/>
        </w:rPr>
        <w:t>cultural, intellectual, religious and spiritual property, which may not be taken without their consent.</w:t>
      </w:r>
      <w:r w:rsidR="00D14981" w:rsidRPr="00925B59">
        <w:rPr>
          <w:rStyle w:val="FootnoteReference"/>
          <w:lang w:val="en-US"/>
        </w:rPr>
        <w:footnoteReference w:id="321"/>
      </w:r>
      <w:r>
        <w:rPr>
          <w:lang w:val="en-US"/>
        </w:rPr>
        <w:t xml:space="preserve"> </w:t>
      </w:r>
      <w:r w:rsidR="00D14981" w:rsidRPr="00925B59">
        <w:t>Thus</w:t>
      </w:r>
      <w:r w:rsidR="00695A56" w:rsidRPr="00925B59">
        <w:t xml:space="preserve">, before conducting research that directly involves </w:t>
      </w:r>
      <w:r w:rsidR="00C95A84">
        <w:t>Indigenous</w:t>
      </w:r>
      <w:r w:rsidR="00FC63E1">
        <w:t xml:space="preserve"> Peoples</w:t>
      </w:r>
      <w:r w:rsidR="00695A56" w:rsidRPr="00925B59">
        <w:t>, consent is necessary.</w:t>
      </w:r>
      <w:r w:rsidR="00695A56" w:rsidRPr="00925B59">
        <w:rPr>
          <w:rStyle w:val="FootnoteReference"/>
        </w:rPr>
        <w:footnoteReference w:id="322"/>
      </w:r>
      <w:r w:rsidR="00695A56" w:rsidRPr="00925B59">
        <w:t xml:space="preserve"> This includes the collection or use of </w:t>
      </w:r>
      <w:r w:rsidR="00C95A84">
        <w:t>Indigenous</w:t>
      </w:r>
      <w:r w:rsidR="00FC63E1">
        <w:t xml:space="preserve"> Knowledge</w:t>
      </w:r>
      <w:r w:rsidR="00695A56" w:rsidRPr="00925B59">
        <w:t>.</w:t>
      </w:r>
      <w:r w:rsidR="00695A56" w:rsidRPr="00925B59">
        <w:rPr>
          <w:rStyle w:val="FootnoteReference"/>
        </w:rPr>
        <w:footnoteReference w:id="323"/>
      </w:r>
      <w:r w:rsidR="008F63E6">
        <w:t xml:space="preserve"> </w:t>
      </w:r>
      <w:r w:rsidR="00111052">
        <w:t>The Permanent Participants have explained that they should determine the appropriate use</w:t>
      </w:r>
      <w:r w:rsidR="002327AB">
        <w:t xml:space="preserve"> of Indigenous K</w:t>
      </w:r>
      <w:r w:rsidR="00111052">
        <w:t>nowledge in the work of the Arctic Council.</w:t>
      </w:r>
      <w:r w:rsidR="00111052">
        <w:rPr>
          <w:rStyle w:val="FootnoteReference"/>
        </w:rPr>
        <w:footnoteReference w:id="324"/>
      </w:r>
      <w:r w:rsidR="00111052">
        <w:t xml:space="preserve"> </w:t>
      </w:r>
      <w:r w:rsidR="008F63E6" w:rsidRPr="00925B59">
        <w:rPr>
          <w:rFonts w:eastAsia="Times New Roman"/>
          <w:color w:val="000000"/>
          <w:lang w:val="en-US"/>
        </w:rPr>
        <w:t xml:space="preserve">IUCN has committed to receiving consent before it promotes the development and generation of benefits from </w:t>
      </w:r>
      <w:r w:rsidR="00C95A84">
        <w:rPr>
          <w:rFonts w:eastAsia="Times New Roman"/>
          <w:color w:val="000000"/>
          <w:lang w:val="en-US"/>
        </w:rPr>
        <w:t>Indigenous</w:t>
      </w:r>
      <w:r w:rsidR="00FC63E1">
        <w:rPr>
          <w:rFonts w:eastAsia="Times New Roman"/>
          <w:color w:val="000000"/>
          <w:lang w:val="en-US"/>
        </w:rPr>
        <w:t xml:space="preserve"> Peoples</w:t>
      </w:r>
      <w:r w:rsidR="008F63E6" w:rsidRPr="00925B59">
        <w:rPr>
          <w:rFonts w:eastAsia="Times New Roman"/>
          <w:color w:val="000000"/>
          <w:lang w:val="en-US"/>
        </w:rPr>
        <w:t>’ cultural heritage sites.</w:t>
      </w:r>
      <w:r w:rsidR="008F63E6" w:rsidRPr="00925B59">
        <w:rPr>
          <w:rStyle w:val="FootnoteReference"/>
          <w:rFonts w:eastAsia="Times New Roman"/>
          <w:color w:val="000000"/>
          <w:lang w:val="en-US"/>
        </w:rPr>
        <w:footnoteReference w:id="325"/>
      </w:r>
    </w:p>
    <w:p w14:paraId="1179D0F6" w14:textId="4FB75FA4" w:rsidR="00521524" w:rsidRPr="00D8359C" w:rsidRDefault="00AE1CAC" w:rsidP="00521524">
      <w:pPr>
        <w:widowControl w:val="0"/>
        <w:autoSpaceDE w:val="0"/>
        <w:autoSpaceDN w:val="0"/>
        <w:adjustRightInd w:val="0"/>
        <w:spacing w:after="240"/>
        <w:rPr>
          <w:lang w:val="en-US"/>
        </w:rPr>
      </w:pPr>
      <w:r w:rsidRPr="00925B59">
        <w:t>It</w:t>
      </w:r>
      <w:r w:rsidR="00FD1B39" w:rsidRPr="00925B59">
        <w:rPr>
          <w:color w:val="1D1D1D"/>
          <w:lang w:val="en-US"/>
        </w:rPr>
        <w:t xml:space="preserve"> is less clear </w:t>
      </w:r>
      <w:r w:rsidR="00B50427" w:rsidRPr="00925B59">
        <w:t xml:space="preserve">whether the UNDRIP </w:t>
      </w:r>
      <w:r w:rsidRPr="00925B59">
        <w:t>and ILO</w:t>
      </w:r>
      <w:r w:rsidR="005F760E">
        <w:t xml:space="preserve"> N</w:t>
      </w:r>
      <w:r w:rsidR="00FB6474">
        <w:t>o.</w:t>
      </w:r>
      <w:r w:rsidRPr="00925B59">
        <w:t xml:space="preserve"> 169 </w:t>
      </w:r>
      <w:r w:rsidR="00B7103B" w:rsidRPr="00925B59">
        <w:t xml:space="preserve">require </w:t>
      </w:r>
      <w:r w:rsidRPr="00925B59">
        <w:t xml:space="preserve">consent </w:t>
      </w:r>
      <w:r w:rsidRPr="00925B59">
        <w:rPr>
          <w:color w:val="1D1D1D"/>
          <w:lang w:val="en-US"/>
        </w:rPr>
        <w:t>prior to exploration or exploitation of mineral and sub-surface resources</w:t>
      </w:r>
      <w:r w:rsidR="00B7103B" w:rsidRPr="00925B59">
        <w:rPr>
          <w:color w:val="1D1D1D"/>
          <w:lang w:val="en-US"/>
        </w:rPr>
        <w:t xml:space="preserve"> on </w:t>
      </w:r>
      <w:r w:rsidR="00C95A84">
        <w:rPr>
          <w:color w:val="1D1D1D"/>
          <w:lang w:val="en-US"/>
        </w:rPr>
        <w:t>Indigenous</w:t>
      </w:r>
      <w:r w:rsidR="00B7103B" w:rsidRPr="00925B59">
        <w:rPr>
          <w:color w:val="1D1D1D"/>
          <w:lang w:val="en-US"/>
        </w:rPr>
        <w:t xml:space="preserve"> lands</w:t>
      </w:r>
      <w:r w:rsidR="00B50427" w:rsidRPr="00925B59">
        <w:t>.</w:t>
      </w:r>
      <w:r w:rsidR="00B50427" w:rsidRPr="00925B59">
        <w:rPr>
          <w:rStyle w:val="FootnoteReference"/>
        </w:rPr>
        <w:footnoteReference w:id="326"/>
      </w:r>
      <w:r w:rsidR="00B50427" w:rsidRPr="00925B59">
        <w:t xml:space="preserve"> Some experts emphasize that the convention “should not be regarded as according </w:t>
      </w:r>
      <w:r w:rsidR="00C95A84">
        <w:t>Indigenous</w:t>
      </w:r>
      <w:r w:rsidR="00FC63E1">
        <w:t xml:space="preserve"> Peoples</w:t>
      </w:r>
      <w:r w:rsidR="00B50427" w:rsidRPr="00925B59">
        <w:t xml:space="preserve"> a general ‘veto power’ over decisions that may affect them, but rather as establishing consent as the objective of consultations.”</w:t>
      </w:r>
      <w:r w:rsidR="00B50427" w:rsidRPr="00925B59">
        <w:rPr>
          <w:rStyle w:val="FootnoteReference"/>
        </w:rPr>
        <w:footnoteReference w:id="327"/>
      </w:r>
      <w:r w:rsidR="00B50427" w:rsidRPr="00925B59">
        <w:t xml:space="preserve"> Some </w:t>
      </w:r>
      <w:r w:rsidR="00B50427" w:rsidRPr="00CE710E">
        <w:t>Arctic governments have asserted a similar interpretation.</w:t>
      </w:r>
      <w:r w:rsidR="00B50427" w:rsidRPr="00C85657">
        <w:rPr>
          <w:rStyle w:val="FootnoteReference"/>
        </w:rPr>
        <w:footnoteReference w:id="328"/>
      </w:r>
      <w:r w:rsidR="00B50427" w:rsidRPr="00C85657">
        <w:t xml:space="preserve"> However, </w:t>
      </w:r>
      <w:r w:rsidR="000E5AA3" w:rsidRPr="00C85657">
        <w:t xml:space="preserve">many </w:t>
      </w:r>
      <w:r w:rsidR="00521524" w:rsidRPr="00C85657">
        <w:t xml:space="preserve">organizations </w:t>
      </w:r>
      <w:r w:rsidR="000E5AA3" w:rsidRPr="00C85657">
        <w:t>and Indigenous Peoples</w:t>
      </w:r>
      <w:r w:rsidR="00521524" w:rsidRPr="00C85657">
        <w:t xml:space="preserve"> </w:t>
      </w:r>
      <w:r w:rsidR="00B50427" w:rsidRPr="00C85657">
        <w:t>assert that consent should be required.</w:t>
      </w:r>
      <w:r w:rsidR="00B50427" w:rsidRPr="005B2C6C">
        <w:rPr>
          <w:rStyle w:val="FootnoteReference"/>
        </w:rPr>
        <w:footnoteReference w:id="329"/>
      </w:r>
      <w:r w:rsidR="00B50427" w:rsidRPr="005B2C6C">
        <w:t xml:space="preserve"> </w:t>
      </w:r>
      <w:r w:rsidR="005B2C6C" w:rsidRPr="005B2C6C">
        <w:t>For example, t</w:t>
      </w:r>
      <w:r w:rsidR="00521524" w:rsidRPr="005B2C6C">
        <w:t xml:space="preserve">he </w:t>
      </w:r>
      <w:r w:rsidR="00521524" w:rsidRPr="00D8359C">
        <w:rPr>
          <w:lang w:val="en-US"/>
        </w:rPr>
        <w:t>International Finance Corporation requires consent for projects with “potential significant adverse impacts on indigenous peoples.”</w:t>
      </w:r>
      <w:r w:rsidR="00521524" w:rsidRPr="00D8359C">
        <w:rPr>
          <w:rStyle w:val="FootnoteReference"/>
          <w:lang w:val="en-US"/>
        </w:rPr>
        <w:footnoteReference w:id="330"/>
      </w:r>
      <w:r w:rsidR="00521524" w:rsidRPr="00D8359C">
        <w:rPr>
          <w:lang w:val="en-US"/>
        </w:rPr>
        <w:t xml:space="preserve"> The U.N. Development </w:t>
      </w:r>
      <w:proofErr w:type="spellStart"/>
      <w:r w:rsidR="00521524" w:rsidRPr="00D8359C">
        <w:rPr>
          <w:lang w:val="en-US"/>
        </w:rPr>
        <w:t>Programme</w:t>
      </w:r>
      <w:proofErr w:type="spellEnd"/>
      <w:r w:rsidR="00521524" w:rsidRPr="00D8359C">
        <w:rPr>
          <w:lang w:val="en-US"/>
        </w:rPr>
        <w:t xml:space="preserve"> requires consent “on any matters that may affect the rights and </w:t>
      </w:r>
      <w:r w:rsidR="00521524" w:rsidRPr="00D8359C">
        <w:rPr>
          <w:lang w:val="en-US"/>
        </w:rPr>
        <w:lastRenderedPageBreak/>
        <w:t>interests, lands, resources, territories (whether titled or untitled to the people in question) and traditional livelihoods of the indigenous peoples concerned.”</w:t>
      </w:r>
      <w:r w:rsidR="00521524" w:rsidRPr="00D8359C">
        <w:rPr>
          <w:rStyle w:val="FootnoteReference"/>
          <w:lang w:val="en-US"/>
        </w:rPr>
        <w:footnoteReference w:id="331"/>
      </w:r>
      <w:r w:rsidR="005B2C6C" w:rsidRPr="006473C6">
        <w:rPr>
          <w:lang w:val="en-US"/>
        </w:rPr>
        <w:t xml:space="preserve"> The </w:t>
      </w:r>
      <w:r w:rsidR="005B2C6C" w:rsidRPr="00D8359C">
        <w:rPr>
          <w:lang w:val="en-US"/>
        </w:rPr>
        <w:t>International Council on Mining and Metals states,</w:t>
      </w:r>
      <w:r w:rsidR="005B2C6C" w:rsidRPr="006473C6">
        <w:rPr>
          <w:lang w:val="en-US"/>
        </w:rPr>
        <w:t xml:space="preserve"> </w:t>
      </w:r>
      <w:r w:rsidR="005B2C6C" w:rsidRPr="00D8359C">
        <w:rPr>
          <w:lang w:val="en-US"/>
        </w:rPr>
        <w:t>“Indigenous Peoples can give or withhold their consent to a project, through a process that strives to be consistent with their traditional decision-making processes while respecting internationally recognized human rights and is based on good faith negotiation.”</w:t>
      </w:r>
      <w:r w:rsidR="005B2C6C" w:rsidRPr="00D8359C">
        <w:rPr>
          <w:rStyle w:val="FootnoteReference"/>
          <w:lang w:val="en-US"/>
        </w:rPr>
        <w:footnoteReference w:id="332"/>
      </w:r>
      <w:r w:rsidR="002D17B9">
        <w:rPr>
          <w:lang w:val="en-US"/>
        </w:rPr>
        <w:t xml:space="preserve"> </w:t>
      </w:r>
    </w:p>
    <w:p w14:paraId="1E017E3B" w14:textId="461B527E" w:rsidR="00850D33" w:rsidRPr="00515A8D" w:rsidRDefault="00521524" w:rsidP="00521524">
      <w:pPr>
        <w:widowControl w:val="0"/>
        <w:autoSpaceDE w:val="0"/>
        <w:autoSpaceDN w:val="0"/>
        <w:adjustRightInd w:val="0"/>
        <w:rPr>
          <w:rFonts w:ascii="Times" w:hAnsi="Times" w:cs="Times"/>
          <w:lang w:val="en-US"/>
        </w:rPr>
      </w:pPr>
      <w:r>
        <w:t xml:space="preserve"> </w:t>
      </w:r>
      <w:r w:rsidR="000E5AA3">
        <w:t>Some governments have also provided support for consent. In Canada, courts have identified the need for consent in certain cases.</w:t>
      </w:r>
      <w:r w:rsidR="000E5AA3">
        <w:rPr>
          <w:rStyle w:val="FootnoteReference"/>
        </w:rPr>
        <w:footnoteReference w:id="333"/>
      </w:r>
      <w:r w:rsidR="000E5AA3">
        <w:t xml:space="preserve"> </w:t>
      </w:r>
      <w:r w:rsidR="00B50427" w:rsidRPr="00925B59">
        <w:t>In the U</w:t>
      </w:r>
      <w:r w:rsidR="00202D24">
        <w:t>.</w:t>
      </w:r>
      <w:r w:rsidR="00B50427" w:rsidRPr="00925B59">
        <w:t>S</w:t>
      </w:r>
      <w:r w:rsidR="00202D24">
        <w:t>.</w:t>
      </w:r>
      <w:r w:rsidR="00B50427" w:rsidRPr="00925B59">
        <w:t>, for example, consensus-based decision-making is required “where appropriate.”</w:t>
      </w:r>
      <w:r w:rsidR="00B50427" w:rsidRPr="00925B59">
        <w:rPr>
          <w:rStyle w:val="FootnoteReference"/>
        </w:rPr>
        <w:footnoteReference w:id="334"/>
      </w:r>
      <w:r w:rsidR="00A62F96" w:rsidRPr="00925B59">
        <w:t xml:space="preserve"> </w:t>
      </w:r>
      <w:r w:rsidR="002924E8" w:rsidRPr="00925B59">
        <w:t>However, it is not clear how this determination is made. Agencies can provide more guidance about the situations where consensus is appropriate by explicitly addressing the issue of consensus in their policies.</w:t>
      </w:r>
      <w:r w:rsidR="00F54DE4" w:rsidRPr="00925B59">
        <w:t xml:space="preserve"> The Arctic Offshore Oil and Gas Guidelines </w:t>
      </w:r>
      <w:r w:rsidR="00313A0A" w:rsidRPr="00925B59">
        <w:t xml:space="preserve">do not mention consent but do emphasize the significance of affecting </w:t>
      </w:r>
      <w:r w:rsidR="00C95A84">
        <w:t>Indigenous</w:t>
      </w:r>
      <w:r w:rsidR="00313A0A" w:rsidRPr="00925B59">
        <w:t xml:space="preserve"> lands and resources, advising</w:t>
      </w:r>
      <w:r w:rsidR="00F54DE4" w:rsidRPr="00925B59">
        <w:t xml:space="preserve"> States to </w:t>
      </w:r>
      <w:r w:rsidR="00F54DE4" w:rsidRPr="00925B59">
        <w:rPr>
          <w:rFonts w:eastAsia="Times New Roman"/>
          <w:color w:val="000000"/>
          <w:lang w:val="en-US"/>
        </w:rPr>
        <w:t xml:space="preserve">consult and cooperate with </w:t>
      </w:r>
      <w:r w:rsidR="00C95A84">
        <w:rPr>
          <w:rFonts w:eastAsia="Times New Roman"/>
          <w:color w:val="000000"/>
          <w:lang w:val="en-US"/>
        </w:rPr>
        <w:t>Indigenous</w:t>
      </w:r>
      <w:r w:rsidR="00FC63E1">
        <w:rPr>
          <w:rFonts w:eastAsia="Times New Roman"/>
          <w:color w:val="000000"/>
          <w:lang w:val="en-US"/>
        </w:rPr>
        <w:t xml:space="preserve"> Peoples</w:t>
      </w:r>
      <w:r w:rsidR="00F54DE4" w:rsidRPr="00925B59">
        <w:rPr>
          <w:rFonts w:eastAsia="Times New Roman"/>
          <w:color w:val="000000"/>
          <w:lang w:val="en-US"/>
        </w:rPr>
        <w:t xml:space="preserve"> “particularly in connection with the development, utilization or exploitation of mineral, water or other resources, including oil and gas.”</w:t>
      </w:r>
      <w:r w:rsidR="00F54DE4" w:rsidRPr="00925B59">
        <w:rPr>
          <w:rStyle w:val="FootnoteReference"/>
          <w:color w:val="1A1718"/>
        </w:rPr>
        <w:footnoteReference w:id="335"/>
      </w:r>
      <w:r w:rsidR="00850D33" w:rsidRPr="00925B59">
        <w:rPr>
          <w:rFonts w:eastAsia="Times New Roman"/>
          <w:color w:val="000000"/>
          <w:lang w:val="en-US"/>
        </w:rPr>
        <w:t xml:space="preserve"> </w:t>
      </w:r>
      <w:r w:rsidR="008F63E6">
        <w:rPr>
          <w:rFonts w:eastAsia="Times New Roman"/>
          <w:color w:val="000000"/>
          <w:lang w:val="en-US"/>
        </w:rPr>
        <w:t xml:space="preserve">With respect to </w:t>
      </w:r>
      <w:r w:rsidR="00C95A84">
        <w:rPr>
          <w:rFonts w:eastAsia="Times New Roman"/>
          <w:color w:val="000000"/>
          <w:lang w:val="en-US"/>
        </w:rPr>
        <w:t>Indigenous</w:t>
      </w:r>
      <w:r w:rsidR="008F63E6">
        <w:rPr>
          <w:rFonts w:eastAsia="Times New Roman"/>
          <w:color w:val="000000"/>
          <w:lang w:val="en-US"/>
        </w:rPr>
        <w:t xml:space="preserve"> lands and resources, </w:t>
      </w:r>
      <w:r w:rsidR="00850D33" w:rsidRPr="00925B59">
        <w:rPr>
          <w:rFonts w:eastAsia="Times New Roman"/>
          <w:color w:val="000000"/>
          <w:lang w:val="en-US"/>
        </w:rPr>
        <w:t xml:space="preserve">IUCN has committed to receiving consent before it engages in any projects that take place on </w:t>
      </w:r>
      <w:r w:rsidR="00C95A84">
        <w:rPr>
          <w:rFonts w:eastAsia="Times New Roman"/>
          <w:color w:val="000000"/>
          <w:lang w:val="en-US"/>
        </w:rPr>
        <w:t>Indigenous</w:t>
      </w:r>
      <w:r w:rsidR="008F63E6">
        <w:rPr>
          <w:rFonts w:eastAsia="Times New Roman"/>
          <w:color w:val="000000"/>
          <w:lang w:val="en-US"/>
        </w:rPr>
        <w:t xml:space="preserve"> lands or waters or which </w:t>
      </w:r>
      <w:r w:rsidR="00850D33" w:rsidRPr="00925B59">
        <w:rPr>
          <w:rFonts w:eastAsia="Times New Roman"/>
          <w:color w:val="000000"/>
          <w:lang w:val="en-US"/>
        </w:rPr>
        <w:t xml:space="preserve">may have negative impact on </w:t>
      </w:r>
      <w:r w:rsidR="00C95A84">
        <w:rPr>
          <w:rFonts w:eastAsia="Times New Roman"/>
          <w:color w:val="000000"/>
          <w:lang w:val="en-US"/>
        </w:rPr>
        <w:t>Indigenous</w:t>
      </w:r>
      <w:r w:rsidR="00850D33" w:rsidRPr="00925B59">
        <w:rPr>
          <w:rFonts w:eastAsia="Times New Roman"/>
          <w:color w:val="000000"/>
          <w:lang w:val="en-US"/>
        </w:rPr>
        <w:t xml:space="preserve"> rights, resources, or livelihoods</w:t>
      </w:r>
      <w:r w:rsidR="008F63E6">
        <w:rPr>
          <w:rFonts w:eastAsia="Times New Roman"/>
          <w:color w:val="000000"/>
          <w:lang w:val="en-US"/>
        </w:rPr>
        <w:t>.</w:t>
      </w:r>
      <w:r w:rsidR="009608E9" w:rsidRPr="00925B59">
        <w:rPr>
          <w:rStyle w:val="FootnoteReference"/>
          <w:rFonts w:eastAsia="Times New Roman"/>
          <w:color w:val="000000"/>
          <w:lang w:val="en-US"/>
        </w:rPr>
        <w:footnoteReference w:id="336"/>
      </w:r>
      <w:r w:rsidR="00EB3B3A">
        <w:rPr>
          <w:rFonts w:eastAsia="Times New Roman"/>
          <w:color w:val="000000"/>
          <w:lang w:val="en-US"/>
        </w:rPr>
        <w:t xml:space="preserve"> The Inuit have declared,</w:t>
      </w:r>
      <w:r w:rsidR="00515A8D">
        <w:rPr>
          <w:rFonts w:eastAsia="Times New Roman"/>
          <w:color w:val="000000"/>
          <w:lang w:val="en-US"/>
        </w:rPr>
        <w:t xml:space="preserve"> “</w:t>
      </w:r>
      <w:r w:rsidR="00515A8D">
        <w:rPr>
          <w:rFonts w:ascii="Times" w:hAnsi="Times" w:cs="Times"/>
          <w:lang w:val="en-US"/>
        </w:rPr>
        <w:t xml:space="preserve">No matter what level or form </w:t>
      </w:r>
      <w:r w:rsidR="006723D4">
        <w:rPr>
          <w:rFonts w:ascii="Times" w:hAnsi="Times" w:cs="Times"/>
          <w:lang w:val="en-US"/>
        </w:rPr>
        <w:t>of self</w:t>
      </w:r>
      <w:r w:rsidR="00515A8D">
        <w:rPr>
          <w:rFonts w:ascii="Times" w:hAnsi="Times" w:cs="Times"/>
          <w:lang w:val="en-US"/>
        </w:rPr>
        <w:t xml:space="preserve">-determination the Inuit of any particular region have achieved, resource development in Inuit </w:t>
      </w:r>
      <w:proofErr w:type="spellStart"/>
      <w:r w:rsidR="00515A8D">
        <w:rPr>
          <w:rFonts w:ascii="Times" w:hAnsi="Times" w:cs="Times"/>
          <w:lang w:val="en-US"/>
        </w:rPr>
        <w:t>Nunaat</w:t>
      </w:r>
      <w:proofErr w:type="spellEnd"/>
      <w:r w:rsidR="00515A8D">
        <w:rPr>
          <w:rFonts w:ascii="Times" w:hAnsi="Times" w:cs="Times"/>
          <w:lang w:val="en-US"/>
        </w:rPr>
        <w:t xml:space="preserve"> must proceed only with the free, prior, and informed consent of the Inuit </w:t>
      </w:r>
      <w:r w:rsidR="006723D4">
        <w:rPr>
          <w:rFonts w:ascii="Times" w:hAnsi="Times" w:cs="Times"/>
          <w:lang w:val="en-US"/>
        </w:rPr>
        <w:t>of that</w:t>
      </w:r>
      <w:r w:rsidR="00515A8D">
        <w:rPr>
          <w:rFonts w:ascii="Times" w:hAnsi="Times" w:cs="Times"/>
          <w:lang w:val="en-US"/>
        </w:rPr>
        <w:t xml:space="preserve"> region.”</w:t>
      </w:r>
      <w:r w:rsidR="00515A8D">
        <w:rPr>
          <w:rStyle w:val="FootnoteReference"/>
          <w:rFonts w:ascii="Times" w:hAnsi="Times" w:cs="Times"/>
          <w:lang w:val="en-US"/>
        </w:rPr>
        <w:footnoteReference w:id="337"/>
      </w:r>
    </w:p>
    <w:p w14:paraId="5A564EEE" w14:textId="77777777" w:rsidR="00BF46C9" w:rsidRPr="00925B59" w:rsidRDefault="00BF46C9" w:rsidP="00B12B13">
      <w:pPr>
        <w:widowControl w:val="0"/>
        <w:tabs>
          <w:tab w:val="left" w:pos="220"/>
          <w:tab w:val="left" w:pos="720"/>
        </w:tabs>
        <w:autoSpaceDE w:val="0"/>
        <w:autoSpaceDN w:val="0"/>
        <w:adjustRightInd w:val="0"/>
        <w:rPr>
          <w:color w:val="1D1D1D"/>
          <w:lang w:val="en-US"/>
        </w:rPr>
      </w:pPr>
    </w:p>
    <w:p w14:paraId="1212FA25" w14:textId="777AFFD7" w:rsidR="00B50427" w:rsidRPr="00925B59" w:rsidRDefault="00B50427" w:rsidP="00B12B13">
      <w:pPr>
        <w:widowControl w:val="0"/>
        <w:autoSpaceDE w:val="0"/>
        <w:autoSpaceDN w:val="0"/>
        <w:adjustRightInd w:val="0"/>
        <w:rPr>
          <w:color w:val="1F1F1F"/>
        </w:rPr>
      </w:pPr>
      <w:r w:rsidRPr="00925B59">
        <w:t>Fundamental to the view that consent is required is the fact that</w:t>
      </w:r>
      <w:r w:rsidR="009B7660" w:rsidRPr="00925B59">
        <w:t>, as a UN Commission explains,</w:t>
      </w:r>
      <w:r w:rsidRPr="00925B59">
        <w:t xml:space="preserve"> “</w:t>
      </w:r>
      <w:proofErr w:type="gramStart"/>
      <w:r w:rsidRPr="00925B59">
        <w:t>for</w:t>
      </w:r>
      <w:proofErr w:type="gramEnd"/>
      <w:r w:rsidRPr="00925B59">
        <w:t xml:space="preserve"> </w:t>
      </w:r>
      <w:r w:rsidR="00C95A84">
        <w:t>Indigenous</w:t>
      </w:r>
      <w:r w:rsidRPr="00925B59">
        <w:t xml:space="preserve"> populations, land does not represent simply a possession or means of production. . . . </w:t>
      </w:r>
      <w:proofErr w:type="gramStart"/>
      <w:r w:rsidRPr="00925B59">
        <w:t>the</w:t>
      </w:r>
      <w:proofErr w:type="gramEnd"/>
      <w:r w:rsidRPr="00925B59">
        <w:t xml:space="preserve"> special and profoundly spiritual relationship of </w:t>
      </w:r>
      <w:r w:rsidR="00C95A84">
        <w:t>Indigenous</w:t>
      </w:r>
      <w:r w:rsidR="00FC63E1">
        <w:t xml:space="preserve"> Peoples</w:t>
      </w:r>
      <w:r w:rsidRPr="00925B59">
        <w:t xml:space="preserve"> with Mother Earth [is] basic to their existence and to all their beliefs, customs, traditions and culture.”</w:t>
      </w:r>
      <w:r w:rsidRPr="00925B59">
        <w:rPr>
          <w:rStyle w:val="FootnoteReference"/>
        </w:rPr>
        <w:footnoteReference w:id="338"/>
      </w:r>
      <w:r w:rsidRPr="00925B59">
        <w:t xml:space="preserve"> </w:t>
      </w:r>
      <w:r w:rsidR="00C95A84">
        <w:t>Indigenous</w:t>
      </w:r>
      <w:r w:rsidR="00E652FF" w:rsidRPr="00925B59">
        <w:t xml:space="preserve"> </w:t>
      </w:r>
      <w:r w:rsidR="00E652FF" w:rsidRPr="00925B59">
        <w:rPr>
          <w:color w:val="1D1D1D"/>
          <w:lang w:val="en-US"/>
        </w:rPr>
        <w:t xml:space="preserve">rights to land and natural resources are </w:t>
      </w:r>
      <w:r w:rsidR="00D07297" w:rsidRPr="00925B59">
        <w:rPr>
          <w:color w:val="1D1D1D"/>
          <w:lang w:val="en-US"/>
        </w:rPr>
        <w:t>also “</w:t>
      </w:r>
      <w:r w:rsidR="00E652FF" w:rsidRPr="00925B59">
        <w:rPr>
          <w:color w:val="1D1D1D"/>
          <w:lang w:val="en-US"/>
        </w:rPr>
        <w:t>fundamental to securing the broader set of rights related to self-management and the right to determine their own priorities for development.”</w:t>
      </w:r>
      <w:r w:rsidR="00E652FF" w:rsidRPr="00925B59">
        <w:rPr>
          <w:rStyle w:val="FootnoteReference"/>
          <w:color w:val="1D1D1D"/>
          <w:lang w:val="en-US"/>
        </w:rPr>
        <w:footnoteReference w:id="339"/>
      </w:r>
      <w:r w:rsidR="00E652FF" w:rsidRPr="00925B59">
        <w:t xml:space="preserve"> </w:t>
      </w:r>
      <w:r w:rsidRPr="00925B59">
        <w:t xml:space="preserve">In addition, </w:t>
      </w:r>
      <w:r w:rsidR="00C95A84">
        <w:t>Indigenous</w:t>
      </w:r>
      <w:r w:rsidR="00FC63E1">
        <w:t xml:space="preserve"> Peoples</w:t>
      </w:r>
      <w:r w:rsidRPr="00925B59">
        <w:t xml:space="preserve"> often face discrimination and a lack of representation in host state legal systems.</w:t>
      </w:r>
      <w:r w:rsidRPr="00925B59">
        <w:rPr>
          <w:rStyle w:val="FootnoteReference"/>
        </w:rPr>
        <w:footnoteReference w:id="340"/>
      </w:r>
      <w:r w:rsidRPr="00925B59">
        <w:t xml:space="preserve"> Thus, </w:t>
      </w:r>
      <w:r w:rsidR="00C95A84">
        <w:t>Indigenous</w:t>
      </w:r>
      <w:r w:rsidR="00FC63E1">
        <w:t xml:space="preserve"> Peoples</w:t>
      </w:r>
      <w:r w:rsidRPr="00925B59">
        <w:t xml:space="preserve"> are particularly likely to experience infringements of their rights from activities that affect their lands and waters.</w:t>
      </w:r>
      <w:r w:rsidRPr="00925B59">
        <w:rPr>
          <w:rStyle w:val="FootnoteReference"/>
        </w:rPr>
        <w:footnoteReference w:id="341"/>
      </w:r>
      <w:r w:rsidRPr="00925B59">
        <w:rPr>
          <w:color w:val="1F1F1F"/>
        </w:rPr>
        <w:t xml:space="preserve"> </w:t>
      </w:r>
      <w:r w:rsidRPr="00925B59">
        <w:t>A</w:t>
      </w:r>
      <w:r w:rsidR="00AF2610">
        <w:t xml:space="preserve">s a result some argue, </w:t>
      </w:r>
      <w:r w:rsidRPr="00925B59">
        <w:t>“</w:t>
      </w:r>
      <w:r w:rsidR="00AF2610" w:rsidRPr="00925B59">
        <w:t>Where</w:t>
      </w:r>
      <w:r w:rsidRPr="00925B59">
        <w:t xml:space="preserve"> </w:t>
      </w:r>
      <w:r w:rsidRPr="00925B59">
        <w:lastRenderedPageBreak/>
        <w:t xml:space="preserve">property rights are affected by natural resource extraction, the international norm is developing to also require actual consent by the </w:t>
      </w:r>
      <w:r w:rsidR="00C95A84">
        <w:t>Indigenous</w:t>
      </w:r>
      <w:r w:rsidR="00FC63E1">
        <w:t xml:space="preserve"> Peoples</w:t>
      </w:r>
      <w:r w:rsidRPr="00925B59">
        <w:t xml:space="preserve"> concerned.”</w:t>
      </w:r>
      <w:r w:rsidRPr="00925B59">
        <w:rPr>
          <w:rStyle w:val="FootnoteReference"/>
        </w:rPr>
        <w:footnoteReference w:id="342"/>
      </w:r>
      <w:r w:rsidR="00357ABB">
        <w:t xml:space="preserve"> </w:t>
      </w:r>
      <w:r w:rsidRPr="00925B59">
        <w:rPr>
          <w:color w:val="1F1F1F"/>
        </w:rPr>
        <w:t xml:space="preserve">If there is likely to be a significant and direct impact on </w:t>
      </w:r>
      <w:r w:rsidR="00C95A84">
        <w:rPr>
          <w:color w:val="1F1F1F"/>
        </w:rPr>
        <w:t>Indigenous</w:t>
      </w:r>
      <w:r w:rsidR="00FC63E1">
        <w:rPr>
          <w:color w:val="1F1F1F"/>
        </w:rPr>
        <w:t xml:space="preserve"> Peoples</w:t>
      </w:r>
      <w:r w:rsidRPr="00925B59">
        <w:rPr>
          <w:color w:val="1F1F1F"/>
        </w:rPr>
        <w:t>’ lives or territories, there is a strong presumption that international standards require consent.</w:t>
      </w:r>
      <w:r w:rsidRPr="00925B59">
        <w:rPr>
          <w:rStyle w:val="FootnoteReference"/>
          <w:color w:val="1F1F1F"/>
        </w:rPr>
        <w:footnoteReference w:id="343"/>
      </w:r>
      <w:r w:rsidR="002D17B9">
        <w:rPr>
          <w:color w:val="1F1F1F"/>
        </w:rPr>
        <w:t xml:space="preserve"> </w:t>
      </w:r>
      <w:r w:rsidR="002D17B9" w:rsidRPr="00925B59">
        <w:t xml:space="preserve">As States address climate change mitigation strategies, these activities are likely to affect fundamental </w:t>
      </w:r>
      <w:r w:rsidR="002D17B9">
        <w:t>Indigenous</w:t>
      </w:r>
      <w:r w:rsidR="002D17B9" w:rsidRPr="00925B59">
        <w:t xml:space="preserve"> rights, as well.</w:t>
      </w:r>
      <w:r w:rsidR="002D17B9" w:rsidRPr="00925B59">
        <w:rPr>
          <w:rStyle w:val="FootnoteReference"/>
        </w:rPr>
        <w:footnoteReference w:id="344"/>
      </w:r>
    </w:p>
    <w:p w14:paraId="293C8B13" w14:textId="77777777" w:rsidR="00393B8C" w:rsidRPr="00925B59" w:rsidRDefault="00393B8C" w:rsidP="00B12B13">
      <w:pPr>
        <w:widowControl w:val="0"/>
        <w:autoSpaceDE w:val="0"/>
        <w:autoSpaceDN w:val="0"/>
        <w:adjustRightInd w:val="0"/>
        <w:rPr>
          <w:lang w:val="en-US"/>
        </w:rPr>
      </w:pPr>
    </w:p>
    <w:p w14:paraId="5F297CCB" w14:textId="0FA857A7" w:rsidR="00B50427" w:rsidRPr="00925B59" w:rsidRDefault="00B50427" w:rsidP="00B12B13">
      <w:pPr>
        <w:widowControl w:val="0"/>
        <w:autoSpaceDE w:val="0"/>
        <w:autoSpaceDN w:val="0"/>
        <w:adjustRightInd w:val="0"/>
        <w:rPr>
          <w:lang w:val="en-US"/>
        </w:rPr>
      </w:pPr>
      <w:r w:rsidRPr="00925B59">
        <w:t xml:space="preserve">Agreements between </w:t>
      </w:r>
      <w:r w:rsidR="00C95A84">
        <w:t>Indigenous</w:t>
      </w:r>
      <w:r w:rsidR="00FC63E1">
        <w:t xml:space="preserve"> Peoples</w:t>
      </w:r>
      <w:r w:rsidRPr="00925B59">
        <w:t xml:space="preserve"> and the government can also establish the requirement for consent. For example, in Canada the Tlicho land claims agreement requires project proponents to conclude an agreement with the Tlicho government in advance of beginning a project.</w:t>
      </w:r>
      <w:r w:rsidRPr="00925B59">
        <w:rPr>
          <w:rStyle w:val="FootnoteReference"/>
        </w:rPr>
        <w:footnoteReference w:id="345"/>
      </w:r>
      <w:r w:rsidR="00112437" w:rsidRPr="00925B59">
        <w:t xml:space="preserve"> </w:t>
      </w:r>
      <w:r w:rsidR="00357ABB">
        <w:t>Similarly</w:t>
      </w:r>
      <w:r w:rsidR="00112437" w:rsidRPr="00925B59">
        <w:t xml:space="preserve">, an </w:t>
      </w:r>
      <w:r w:rsidR="00112437" w:rsidRPr="00925B59">
        <w:rPr>
          <w:lang w:val="en-US"/>
        </w:rPr>
        <w:t xml:space="preserve">agreement between the </w:t>
      </w:r>
      <w:proofErr w:type="spellStart"/>
      <w:r w:rsidR="00112437" w:rsidRPr="00925B59">
        <w:rPr>
          <w:lang w:val="en-US"/>
        </w:rPr>
        <w:t>Voisey</w:t>
      </w:r>
      <w:proofErr w:type="spellEnd"/>
      <w:r w:rsidR="00112437" w:rsidRPr="00925B59">
        <w:rPr>
          <w:lang w:val="en-US"/>
        </w:rPr>
        <w:t xml:space="preserve"> Bay Nickel Company, the Innu Nation and the Labrador Inuit Association </w:t>
      </w:r>
      <w:r w:rsidR="0023314C">
        <w:rPr>
          <w:lang w:val="en-US"/>
        </w:rPr>
        <w:t xml:space="preserve">(now the Nunatsiavut Government) </w:t>
      </w:r>
      <w:r w:rsidR="00112437" w:rsidRPr="00925B59">
        <w:rPr>
          <w:lang w:val="en-US"/>
        </w:rPr>
        <w:t>specified that mining could only proceed</w:t>
      </w:r>
      <w:r w:rsidR="001A0D92" w:rsidRPr="00925B59">
        <w:rPr>
          <w:lang w:val="en-US"/>
        </w:rPr>
        <w:t xml:space="preserve"> with the consent of the Innu</w:t>
      </w:r>
      <w:r w:rsidR="0023314C">
        <w:rPr>
          <w:lang w:val="en-US"/>
        </w:rPr>
        <w:t xml:space="preserve"> and Inuit</w:t>
      </w:r>
      <w:r w:rsidR="00112437" w:rsidRPr="00925B59">
        <w:rPr>
          <w:lang w:val="en-US"/>
        </w:rPr>
        <w:t>.</w:t>
      </w:r>
      <w:r w:rsidR="00112437" w:rsidRPr="00925B59">
        <w:rPr>
          <w:rStyle w:val="FootnoteReference"/>
          <w:lang w:val="en-US"/>
        </w:rPr>
        <w:footnoteReference w:id="346"/>
      </w:r>
    </w:p>
    <w:p w14:paraId="12B02515" w14:textId="77777777" w:rsidR="00393B8C" w:rsidRPr="00925B59" w:rsidRDefault="00393B8C" w:rsidP="00B12B13">
      <w:pPr>
        <w:widowControl w:val="0"/>
        <w:autoSpaceDE w:val="0"/>
        <w:autoSpaceDN w:val="0"/>
        <w:adjustRightInd w:val="0"/>
        <w:rPr>
          <w:lang w:val="en-US"/>
        </w:rPr>
      </w:pPr>
    </w:p>
    <w:p w14:paraId="55A555A1" w14:textId="6E450304" w:rsidR="00B50427" w:rsidRPr="00925B59" w:rsidRDefault="00B50427" w:rsidP="00B12B13">
      <w:pPr>
        <w:widowControl w:val="0"/>
        <w:autoSpaceDE w:val="0"/>
        <w:autoSpaceDN w:val="0"/>
        <w:adjustRightInd w:val="0"/>
      </w:pPr>
      <w:r w:rsidRPr="00925B59">
        <w:t xml:space="preserve">Regardless of its legal status, consent is important for </w:t>
      </w:r>
      <w:r w:rsidR="00F10F1E" w:rsidRPr="00925B59">
        <w:t>entities engaging in Arctic activities because it is increasingly becoming a society expectation.</w:t>
      </w:r>
      <w:r w:rsidRPr="00925B59">
        <w:rPr>
          <w:rStyle w:val="FootnoteReference"/>
        </w:rPr>
        <w:footnoteReference w:id="347"/>
      </w:r>
      <w:r w:rsidR="004E3C74" w:rsidRPr="00925B59">
        <w:t xml:space="preserve"> Consent can help an entity </w:t>
      </w:r>
      <w:r w:rsidRPr="00925B59">
        <w:t>to gain the social license to operate, avoid reputational risk, avoid legal risk, and improve their ability to conduct future projects.</w:t>
      </w:r>
      <w:r w:rsidRPr="00925B59">
        <w:rPr>
          <w:rStyle w:val="FootnoteReference"/>
        </w:rPr>
        <w:footnoteReference w:id="348"/>
      </w:r>
      <w:r w:rsidR="007D46DF" w:rsidRPr="00925B59">
        <w:t xml:space="preserve"> </w:t>
      </w:r>
      <w:r w:rsidR="007D46DF" w:rsidRPr="00925B59">
        <w:rPr>
          <w:color w:val="070909"/>
        </w:rPr>
        <w:t>Addressing community concerns before a project begins is likely to be more cost-effective than facing opposition later on, and engagement that does not resolve a community’s reasons for opposition “provides little assurance against potentially costly and disruptive conflict.”</w:t>
      </w:r>
      <w:r w:rsidR="007D46DF" w:rsidRPr="00925B59">
        <w:rPr>
          <w:rStyle w:val="FootnoteReference"/>
          <w:color w:val="070909"/>
        </w:rPr>
        <w:footnoteReference w:id="349"/>
      </w:r>
    </w:p>
    <w:p w14:paraId="42D2F22E" w14:textId="77777777" w:rsidR="00B50427" w:rsidRPr="00925B59" w:rsidRDefault="00B50427" w:rsidP="00B12B13">
      <w:pPr>
        <w:widowControl w:val="0"/>
        <w:autoSpaceDE w:val="0"/>
        <w:autoSpaceDN w:val="0"/>
        <w:adjustRightInd w:val="0"/>
      </w:pPr>
    </w:p>
    <w:p w14:paraId="31A1AFBF" w14:textId="77553099" w:rsidR="00B50427" w:rsidRPr="00925B59" w:rsidRDefault="00B50427" w:rsidP="00B12B13">
      <w:pPr>
        <w:widowControl w:val="0"/>
        <w:autoSpaceDE w:val="0"/>
        <w:autoSpaceDN w:val="0"/>
        <w:adjustRightInd w:val="0"/>
        <w:rPr>
          <w:color w:val="070909"/>
        </w:rPr>
      </w:pPr>
      <w:r w:rsidRPr="00925B59">
        <w:t xml:space="preserve">However, in a study of </w:t>
      </w:r>
      <w:r w:rsidR="00C95A84">
        <w:t>Indigenous</w:t>
      </w:r>
      <w:r w:rsidRPr="00925B59">
        <w:t xml:space="preserve"> and government views on successful consultation</w:t>
      </w:r>
      <w:r w:rsidR="0023314C">
        <w:t xml:space="preserve"> throughout the U.S. (including non Arctic regions)</w:t>
      </w:r>
      <w:r w:rsidRPr="00925B59">
        <w:t>, all parties agreed that coming</w:t>
      </w:r>
      <w:r w:rsidRPr="00925B59">
        <w:rPr>
          <w:color w:val="070909"/>
        </w:rPr>
        <w:t xml:space="preserve"> to consensus was not critical. Although consensus is one of the products of successful consultation, most of the people surveyed stressed that “fundamental success lay in incrementally building open communication, and mutual respect and understanding.”</w:t>
      </w:r>
      <w:r w:rsidRPr="00925B59">
        <w:rPr>
          <w:rStyle w:val="FootnoteReference"/>
        </w:rPr>
        <w:footnoteReference w:id="350"/>
      </w:r>
      <w:r w:rsidR="007D46DF" w:rsidRPr="00925B59">
        <w:rPr>
          <w:color w:val="070909"/>
        </w:rPr>
        <w:t xml:space="preserve"> </w:t>
      </w:r>
    </w:p>
    <w:p w14:paraId="22DFEE7B" w14:textId="77777777" w:rsidR="00B50427" w:rsidRPr="00925B59" w:rsidRDefault="00B50427" w:rsidP="00B12B13">
      <w:pPr>
        <w:widowControl w:val="0"/>
        <w:autoSpaceDE w:val="0"/>
        <w:autoSpaceDN w:val="0"/>
        <w:adjustRightInd w:val="0"/>
      </w:pPr>
    </w:p>
    <w:p w14:paraId="03CCB217" w14:textId="46B1EF91" w:rsidR="00B50427" w:rsidRPr="00870E8A" w:rsidRDefault="004A0973" w:rsidP="00870E8A">
      <w:pPr>
        <w:pStyle w:val="Heading2"/>
        <w:numPr>
          <w:ilvl w:val="0"/>
          <w:numId w:val="20"/>
        </w:numPr>
        <w:rPr>
          <w:rFonts w:ascii="Times New Roman" w:hAnsi="Times New Roman" w:cs="Times New Roman"/>
          <w:color w:val="auto"/>
          <w:sz w:val="24"/>
          <w:szCs w:val="24"/>
          <w:u w:val="single"/>
        </w:rPr>
      </w:pPr>
      <w:bookmarkStart w:id="94" w:name="_Toc334125715"/>
      <w:r w:rsidRPr="00870E8A">
        <w:rPr>
          <w:rFonts w:ascii="Times New Roman" w:hAnsi="Times New Roman" w:cs="Times New Roman"/>
          <w:color w:val="auto"/>
          <w:sz w:val="24"/>
          <w:szCs w:val="24"/>
          <w:u w:val="single"/>
        </w:rPr>
        <w:t>Accountability</w:t>
      </w:r>
      <w:bookmarkEnd w:id="94"/>
    </w:p>
    <w:p w14:paraId="5ED8C1D1" w14:textId="77777777" w:rsidR="00B50427" w:rsidRPr="00925B59" w:rsidRDefault="00B50427" w:rsidP="00B12B13"/>
    <w:p w14:paraId="3C90683C" w14:textId="4CA81A48" w:rsidR="00B50427" w:rsidRPr="00925B59" w:rsidRDefault="00B50427" w:rsidP="00B12B13">
      <w:pPr>
        <w:widowControl w:val="0"/>
        <w:autoSpaceDE w:val="0"/>
        <w:autoSpaceDN w:val="0"/>
        <w:adjustRightInd w:val="0"/>
        <w:rPr>
          <w:lang w:val="en-US"/>
        </w:rPr>
      </w:pPr>
      <w:r w:rsidRPr="00925B59">
        <w:t xml:space="preserve">Transparency and accountability enhance the overall credibility and encourage trust in the planning and decision making process. </w:t>
      </w:r>
      <w:r w:rsidR="00D0710B" w:rsidRPr="00925B59">
        <w:rPr>
          <w:color w:val="1A1718"/>
          <w:lang w:val="en-US"/>
        </w:rPr>
        <w:t>An objective definition of trust is related to predictability, and can be characterized as “knowing when your expectations are met.”</w:t>
      </w:r>
      <w:r w:rsidR="00D0710B" w:rsidRPr="00925B59">
        <w:rPr>
          <w:rStyle w:val="FootnoteReference"/>
          <w:color w:val="1A1718"/>
          <w:lang w:val="en-US"/>
        </w:rPr>
        <w:footnoteReference w:id="351"/>
      </w:r>
      <w:r w:rsidR="003D5234" w:rsidRPr="00925B59">
        <w:rPr>
          <w:lang w:val="en-US"/>
        </w:rPr>
        <w:t xml:space="preserve"> </w:t>
      </w:r>
      <w:r w:rsidRPr="00925B59">
        <w:t>In many cases, transparency</w:t>
      </w:r>
      <w:r w:rsidR="003D5234" w:rsidRPr="00925B59">
        <w:t xml:space="preserve"> and predictability are</w:t>
      </w:r>
      <w:r w:rsidRPr="00925B59">
        <w:t xml:space="preserve"> more important than the ultimate outcome of decision-</w:t>
      </w:r>
      <w:r w:rsidRPr="00925B59">
        <w:lastRenderedPageBreak/>
        <w:t xml:space="preserve">making. Accountability can </w:t>
      </w:r>
      <w:r w:rsidR="00484BF3">
        <w:t>include</w:t>
      </w:r>
      <w:r w:rsidRPr="00925B59">
        <w:t xml:space="preserve"> policies that describe how </w:t>
      </w:r>
      <w:r w:rsidR="00C95A84">
        <w:t>Indigenous</w:t>
      </w:r>
      <w:r w:rsidRPr="00925B59">
        <w:t xml:space="preserve"> impacts will be assessed</w:t>
      </w:r>
      <w:r w:rsidR="00484BF3">
        <w:t xml:space="preserve"> and </w:t>
      </w:r>
      <w:r w:rsidRPr="00925B59">
        <w:t xml:space="preserve">how </w:t>
      </w:r>
      <w:r w:rsidR="00C95A84">
        <w:t>Indigenous</w:t>
      </w:r>
      <w:r w:rsidRPr="00925B59">
        <w:t xml:space="preserve"> consultation will be meaningful and timely</w:t>
      </w:r>
      <w:r w:rsidR="00F62A0C">
        <w:t>.</w:t>
      </w:r>
      <w:r w:rsidRPr="00925B59">
        <w:rPr>
          <w:rStyle w:val="FootnoteReference"/>
        </w:rPr>
        <w:footnoteReference w:id="352"/>
      </w:r>
      <w:r w:rsidRPr="00925B59">
        <w:t xml:space="preserve"> </w:t>
      </w:r>
      <w:r w:rsidR="00484BF3" w:rsidRPr="00925B59">
        <w:t>Clear records of the consultation process can support accountability.</w:t>
      </w:r>
    </w:p>
    <w:p w14:paraId="0AFBA290" w14:textId="77777777" w:rsidR="00B50427" w:rsidRDefault="00B50427" w:rsidP="00B12B13">
      <w:pPr>
        <w:widowControl w:val="0"/>
        <w:autoSpaceDE w:val="0"/>
        <w:autoSpaceDN w:val="0"/>
        <w:adjustRightInd w:val="0"/>
      </w:pPr>
    </w:p>
    <w:p w14:paraId="7E79A7B2" w14:textId="18FEDAC6" w:rsidR="001516A9" w:rsidRDefault="001516A9" w:rsidP="00B12B13">
      <w:pPr>
        <w:widowControl w:val="0"/>
        <w:autoSpaceDE w:val="0"/>
        <w:autoSpaceDN w:val="0"/>
        <w:adjustRightInd w:val="0"/>
      </w:pPr>
      <w:r w:rsidRPr="00495C92">
        <w:t xml:space="preserve">The Arctic Council does not have an overarching policy that describes how engagement with Permanent Participants will be meaningful. </w:t>
      </w:r>
      <w:r w:rsidR="0005513D" w:rsidRPr="00495C92">
        <w:t xml:space="preserve">However, meeting minutes and records of decisions identify input by all participants, including Permanent Participants. </w:t>
      </w:r>
      <w:r w:rsidR="009372C2" w:rsidRPr="00495C92">
        <w:t xml:space="preserve">The </w:t>
      </w:r>
      <w:r w:rsidR="00484BF3">
        <w:t>Sustainable Development Working group recommends a record-keeping system for identifying how Indigenous Knowledge will be used and reporting at the completion of a project describing how it was used and how it may be better incorporated in the future.</w:t>
      </w:r>
      <w:r w:rsidR="00484BF3">
        <w:rPr>
          <w:rStyle w:val="FootnoteReference"/>
        </w:rPr>
        <w:footnoteReference w:id="353"/>
      </w:r>
      <w:r w:rsidR="00484BF3">
        <w:t xml:space="preserve"> </w:t>
      </w:r>
      <w:r w:rsidR="00484BF3" w:rsidRPr="00495C92">
        <w:t>The Arctic Council has made few, if any</w:t>
      </w:r>
      <w:r w:rsidR="00484BF3">
        <w:t>,</w:t>
      </w:r>
      <w:r w:rsidR="00484BF3" w:rsidRPr="00495C92">
        <w:t xml:space="preserve"> recommendations regarding accountability in Indigenous engagement.</w:t>
      </w:r>
    </w:p>
    <w:p w14:paraId="4573570C" w14:textId="77777777" w:rsidR="0005513D" w:rsidRPr="00925B59" w:rsidRDefault="0005513D" w:rsidP="00B12B13">
      <w:pPr>
        <w:widowControl w:val="0"/>
        <w:autoSpaceDE w:val="0"/>
        <w:autoSpaceDN w:val="0"/>
        <w:adjustRightInd w:val="0"/>
      </w:pPr>
    </w:p>
    <w:p w14:paraId="72981CD7" w14:textId="3C55EA19" w:rsidR="00B50427" w:rsidRPr="00925B59" w:rsidRDefault="00B50427" w:rsidP="00B12B13">
      <w:pPr>
        <w:widowControl w:val="0"/>
        <w:tabs>
          <w:tab w:val="left" w:pos="220"/>
          <w:tab w:val="left" w:pos="720"/>
        </w:tabs>
        <w:autoSpaceDE w:val="0"/>
        <w:autoSpaceDN w:val="0"/>
        <w:adjustRightInd w:val="0"/>
      </w:pPr>
      <w:r w:rsidRPr="00925B59">
        <w:t xml:space="preserve">Transparency is strongest when </w:t>
      </w:r>
      <w:r w:rsidR="00C95A84">
        <w:t>Indigenous</w:t>
      </w:r>
      <w:r w:rsidR="00FC63E1">
        <w:t xml:space="preserve"> Peoples</w:t>
      </w:r>
      <w:r w:rsidRPr="00925B59">
        <w:t xml:space="preserve"> </w:t>
      </w:r>
      <w:r w:rsidR="00C51B8D" w:rsidRPr="00925B59">
        <w:t xml:space="preserve">and communities </w:t>
      </w:r>
      <w:r w:rsidRPr="00925B59">
        <w:t>are involved in establishing an agreed upon process for recording the views they’ve expressed.</w:t>
      </w:r>
      <w:r w:rsidRPr="00925B59">
        <w:rPr>
          <w:rStyle w:val="FootnoteReference"/>
        </w:rPr>
        <w:footnoteReference w:id="354"/>
      </w:r>
      <w:r w:rsidRPr="00925B59">
        <w:t xml:space="preserve"> The records of each meeting can include a list of the consultation participants, draft minutes of the meeting to be reviewed and revised by the parties to the consultation, a list of action items and their timeline for completion, a description of how input received during the meeting may influence the proposed action, and direct responses to each concern raised discussing how the concern was addressed or why it cannot be addressed.</w:t>
      </w:r>
      <w:r w:rsidRPr="00925B59">
        <w:rPr>
          <w:rStyle w:val="FootnoteReference"/>
        </w:rPr>
        <w:footnoteReference w:id="355"/>
      </w:r>
      <w:r w:rsidRPr="00925B59">
        <w:t xml:space="preserve"> </w:t>
      </w:r>
    </w:p>
    <w:p w14:paraId="50975C97" w14:textId="77777777" w:rsidR="00B50427" w:rsidRPr="00925B59" w:rsidRDefault="00B50427" w:rsidP="00B12B13">
      <w:pPr>
        <w:widowControl w:val="0"/>
        <w:tabs>
          <w:tab w:val="left" w:pos="220"/>
          <w:tab w:val="left" w:pos="720"/>
        </w:tabs>
        <w:autoSpaceDE w:val="0"/>
        <w:autoSpaceDN w:val="0"/>
        <w:adjustRightInd w:val="0"/>
      </w:pPr>
    </w:p>
    <w:p w14:paraId="082315E1" w14:textId="4480BC6C" w:rsidR="00917286" w:rsidRPr="00925B59" w:rsidRDefault="00B50427" w:rsidP="00B12B13">
      <w:pPr>
        <w:widowControl w:val="0"/>
        <w:autoSpaceDE w:val="0"/>
        <w:autoSpaceDN w:val="0"/>
        <w:adjustRightInd w:val="0"/>
      </w:pPr>
      <w:r w:rsidRPr="00925B59">
        <w:t>Transparency is strengthened wh</w:t>
      </w:r>
      <w:r w:rsidR="00917286" w:rsidRPr="00925B59">
        <w:t>en similar records accompany a government’s</w:t>
      </w:r>
      <w:r w:rsidR="00BA057C">
        <w:t xml:space="preserve"> final decision about a</w:t>
      </w:r>
      <w:r w:rsidRPr="00925B59">
        <w:t xml:space="preserve"> proposed project. The report can describe the steps in the consultation process including how it was reasonable and meaningful, identify the </w:t>
      </w:r>
      <w:r w:rsidR="00C95A84">
        <w:t>Indigenous</w:t>
      </w:r>
      <w:r w:rsidR="00FC63E1">
        <w:t xml:space="preserve"> Peoples</w:t>
      </w:r>
      <w:r w:rsidRPr="00925B59">
        <w:t xml:space="preserve">’ concerns and recommended accommodation or mitigation measures, explain how each concern and proposed measure was addressed or why it could not be addressed, identify how the </w:t>
      </w:r>
      <w:r w:rsidR="00C95A84">
        <w:t>Indigenous</w:t>
      </w:r>
      <w:r w:rsidR="00FC63E1">
        <w:t xml:space="preserve"> Peoples</w:t>
      </w:r>
      <w:r w:rsidRPr="00925B59">
        <w:t>’ input has influenced the design of the studies and the project, cite the evidence and reasoning that supports the final decision and the mitigation measures chosen, identify the roles and responsibilities of all parties involved in implementing the accommodation or mitigation measures, and describe how the final decisions will be communicated to all parties.</w:t>
      </w:r>
      <w:r w:rsidRPr="00925B59">
        <w:rPr>
          <w:rStyle w:val="FootnoteReference"/>
        </w:rPr>
        <w:footnoteReference w:id="356"/>
      </w:r>
      <w:r w:rsidRPr="00925B59">
        <w:t xml:space="preserve"> </w:t>
      </w:r>
    </w:p>
    <w:p w14:paraId="5655EF54" w14:textId="77777777" w:rsidR="00917286" w:rsidRPr="00925B59" w:rsidRDefault="00917286" w:rsidP="00B12B13">
      <w:pPr>
        <w:widowControl w:val="0"/>
        <w:autoSpaceDE w:val="0"/>
        <w:autoSpaceDN w:val="0"/>
        <w:adjustRightInd w:val="0"/>
      </w:pPr>
    </w:p>
    <w:p w14:paraId="59C7E9B1" w14:textId="719AC87F" w:rsidR="00B50427" w:rsidRPr="00925B59" w:rsidRDefault="00917286" w:rsidP="00B12B13">
      <w:pPr>
        <w:widowControl w:val="0"/>
        <w:autoSpaceDE w:val="0"/>
        <w:autoSpaceDN w:val="0"/>
        <w:adjustRightInd w:val="0"/>
      </w:pPr>
      <w:r w:rsidRPr="00925B59">
        <w:t xml:space="preserve">To ensure accountability, </w:t>
      </w:r>
      <w:r w:rsidR="0023314C">
        <w:t xml:space="preserve">some </w:t>
      </w:r>
      <w:r w:rsidRPr="00925B59">
        <w:t>c</w:t>
      </w:r>
      <w:r w:rsidR="001849A2" w:rsidRPr="00925B59">
        <w:t xml:space="preserve">ompanies </w:t>
      </w:r>
      <w:r w:rsidRPr="00925B59">
        <w:t>use a “commitments register” to record and follow up on commitments the company has made.</w:t>
      </w:r>
      <w:r w:rsidRPr="00925B59">
        <w:rPr>
          <w:rStyle w:val="FootnoteReference"/>
        </w:rPr>
        <w:footnoteReference w:id="357"/>
      </w:r>
      <w:r w:rsidR="0023314C">
        <w:t xml:space="preserve"> A wider range of companies operating in the Arctic could adopt this process. In addition, outside entities</w:t>
      </w:r>
      <w:r w:rsidRPr="00925B59">
        <w:t xml:space="preserve"> </w:t>
      </w:r>
      <w:r w:rsidR="001849A2" w:rsidRPr="00925B59">
        <w:t>can</w:t>
      </w:r>
      <w:r w:rsidRPr="00925B59">
        <w:t xml:space="preserve"> model their reporting procedures on existing </w:t>
      </w:r>
      <w:r w:rsidR="001849A2" w:rsidRPr="00925B59">
        <w:t>international standards for reporting on stakeholder engagement</w:t>
      </w:r>
      <w:r w:rsidRPr="00925B59">
        <w:t xml:space="preserve">. </w:t>
      </w:r>
      <w:r w:rsidR="005A7A26" w:rsidRPr="00925B59">
        <w:t xml:space="preserve">Although these standards are not tailored specifically to </w:t>
      </w:r>
      <w:r w:rsidR="00C95A84">
        <w:t>Indigenous</w:t>
      </w:r>
      <w:r w:rsidR="005A7A26" w:rsidRPr="00925B59">
        <w:t xml:space="preserve"> engagement, they provide useful concepts that can be applied in the </w:t>
      </w:r>
      <w:r w:rsidR="00C95A84">
        <w:t>Indigenous</w:t>
      </w:r>
      <w:r w:rsidR="005A7A26" w:rsidRPr="00925B59">
        <w:t xml:space="preserve"> engagement context. </w:t>
      </w:r>
      <w:r w:rsidR="00F6038A" w:rsidRPr="00925B59">
        <w:t>Outside entities</w:t>
      </w:r>
      <w:r w:rsidRPr="00925B59">
        <w:t xml:space="preserve"> can also hire external </w:t>
      </w:r>
      <w:r w:rsidRPr="00925B59">
        <w:lastRenderedPageBreak/>
        <w:t>auditors to assess their current reporting practices.</w:t>
      </w:r>
      <w:r w:rsidR="001849A2" w:rsidRPr="00925B59">
        <w:rPr>
          <w:rStyle w:val="FootnoteReference"/>
        </w:rPr>
        <w:footnoteReference w:id="358"/>
      </w:r>
    </w:p>
    <w:p w14:paraId="655D0729" w14:textId="77777777" w:rsidR="00B50427" w:rsidRPr="00925B59" w:rsidRDefault="00B50427" w:rsidP="00B12B13">
      <w:pPr>
        <w:widowControl w:val="0"/>
        <w:autoSpaceDE w:val="0"/>
        <w:autoSpaceDN w:val="0"/>
        <w:adjustRightInd w:val="0"/>
      </w:pPr>
    </w:p>
    <w:p w14:paraId="3CE8A442" w14:textId="451EE9BF" w:rsidR="00B50427" w:rsidRPr="00925B59" w:rsidRDefault="00B50427" w:rsidP="00B12B13">
      <w:pPr>
        <w:widowControl w:val="0"/>
        <w:autoSpaceDE w:val="0"/>
        <w:autoSpaceDN w:val="0"/>
        <w:adjustRightInd w:val="0"/>
      </w:pPr>
      <w:r w:rsidRPr="00925B59">
        <w:t xml:space="preserve">Creating a system to track input also improves engagement. The system provides a written record of input or suggested mitigation measures that have been made at various meetings as well as the response and helps to eliminate the need for </w:t>
      </w:r>
      <w:r w:rsidR="00C95A84">
        <w:t>Indigenous</w:t>
      </w:r>
      <w:r w:rsidR="00FC63E1">
        <w:t xml:space="preserve"> Peoples</w:t>
      </w:r>
      <w:r w:rsidRPr="00925B59">
        <w:t xml:space="preserve"> to repeat themselves. People can confirm that their input was received if the information publicly available.</w:t>
      </w:r>
      <w:r w:rsidRPr="00925B59">
        <w:rPr>
          <w:rStyle w:val="FootnoteReference"/>
        </w:rPr>
        <w:footnoteReference w:id="359"/>
      </w:r>
      <w:r w:rsidRPr="00925B59">
        <w:t xml:space="preserve"> </w:t>
      </w:r>
    </w:p>
    <w:p w14:paraId="54C0EBCE" w14:textId="77777777" w:rsidR="00917286" w:rsidRPr="00925B59" w:rsidRDefault="00917286" w:rsidP="00B12B13">
      <w:pPr>
        <w:widowControl w:val="0"/>
        <w:autoSpaceDE w:val="0"/>
        <w:autoSpaceDN w:val="0"/>
        <w:adjustRightInd w:val="0"/>
      </w:pPr>
    </w:p>
    <w:p w14:paraId="43F25530" w14:textId="5ACED2F0" w:rsidR="00B50427" w:rsidRPr="00BC55CA" w:rsidRDefault="00D87BEC" w:rsidP="00BC55CA">
      <w:pPr>
        <w:pStyle w:val="Heading2"/>
        <w:numPr>
          <w:ilvl w:val="0"/>
          <w:numId w:val="20"/>
        </w:numPr>
        <w:rPr>
          <w:rFonts w:ascii="Times New Roman" w:hAnsi="Times New Roman" w:cs="Times New Roman"/>
          <w:color w:val="auto"/>
          <w:sz w:val="24"/>
          <w:szCs w:val="24"/>
          <w:u w:val="single"/>
        </w:rPr>
      </w:pPr>
      <w:bookmarkStart w:id="95" w:name="_Toc334125716"/>
      <w:r w:rsidRPr="00BC55CA">
        <w:rPr>
          <w:rFonts w:ascii="Times New Roman" w:hAnsi="Times New Roman" w:cs="Times New Roman"/>
          <w:color w:val="auto"/>
          <w:sz w:val="24"/>
          <w:szCs w:val="24"/>
          <w:u w:val="single"/>
        </w:rPr>
        <w:t>Shared benefits</w:t>
      </w:r>
      <w:bookmarkEnd w:id="95"/>
    </w:p>
    <w:p w14:paraId="42BAEAC7" w14:textId="77777777" w:rsidR="00B50427" w:rsidRPr="00925B59" w:rsidRDefault="00B50427" w:rsidP="00B12B13">
      <w:pPr>
        <w:widowControl w:val="0"/>
        <w:autoSpaceDE w:val="0"/>
        <w:autoSpaceDN w:val="0"/>
        <w:adjustRightInd w:val="0"/>
      </w:pPr>
    </w:p>
    <w:p w14:paraId="791EE294" w14:textId="510C94AF" w:rsidR="008930C0" w:rsidRDefault="006D029F" w:rsidP="00354276">
      <w:pPr>
        <w:widowControl w:val="0"/>
        <w:tabs>
          <w:tab w:val="left" w:pos="220"/>
          <w:tab w:val="left" w:pos="720"/>
        </w:tabs>
        <w:autoSpaceDE w:val="0"/>
        <w:autoSpaceDN w:val="0"/>
        <w:adjustRightInd w:val="0"/>
        <w:spacing w:after="266"/>
        <w:rPr>
          <w:color w:val="1A1718"/>
          <w:lang w:val="en-US"/>
        </w:rPr>
      </w:pPr>
      <w:r>
        <w:t>As the Circumpolar Inuit Declaration on Resource Development explains, “those who face the greatest and longest-lasting impacts must have the greatest opportunities.”</w:t>
      </w:r>
      <w:r>
        <w:rPr>
          <w:rStyle w:val="FootnoteReference"/>
        </w:rPr>
        <w:footnoteReference w:id="360"/>
      </w:r>
      <w:r w:rsidR="00997870">
        <w:t xml:space="preserve"> These opportunities include sharing </w:t>
      </w:r>
      <w:r w:rsidR="00997870" w:rsidRPr="00354276">
        <w:t xml:space="preserve">in the benefits of activities that take place in the Arctic, including, </w:t>
      </w:r>
      <w:r w:rsidR="009A43CA" w:rsidRPr="00354276">
        <w:t>among other things,</w:t>
      </w:r>
      <w:r w:rsidR="008930C0" w:rsidRPr="00354276">
        <w:t xml:space="preserve"> </w:t>
      </w:r>
      <w:r w:rsidR="002376E2">
        <w:t>holding shares in</w:t>
      </w:r>
      <w:r w:rsidR="00A45435">
        <w:t xml:space="preserve"> or being sole owners of</w:t>
      </w:r>
      <w:r w:rsidR="002376E2">
        <w:t xml:space="preserve"> the activity, </w:t>
      </w:r>
      <w:r w:rsidR="008930C0" w:rsidRPr="00354276">
        <w:t xml:space="preserve">financial payments, </w:t>
      </w:r>
      <w:r w:rsidR="0007018F" w:rsidRPr="00354276">
        <w:t>training,</w:t>
      </w:r>
      <w:r w:rsidR="008930C0" w:rsidRPr="00354276">
        <w:t xml:space="preserve"> employment</w:t>
      </w:r>
      <w:r w:rsidR="00E63308" w:rsidRPr="00354276">
        <w:t xml:space="preserve">, </w:t>
      </w:r>
      <w:r w:rsidR="00997870" w:rsidRPr="00354276">
        <w:t>and</w:t>
      </w:r>
      <w:r w:rsidR="0007018F" w:rsidRPr="00354276">
        <w:t xml:space="preserve"> </w:t>
      </w:r>
      <w:r w:rsidR="009A43CA" w:rsidRPr="00354276">
        <w:t>infrastructure</w:t>
      </w:r>
      <w:r w:rsidR="008930C0" w:rsidRPr="00354276">
        <w:t>.</w:t>
      </w:r>
      <w:r w:rsidR="004C1E11" w:rsidRPr="00354276">
        <w:t xml:space="preserve"> </w:t>
      </w:r>
      <w:r w:rsidR="00354276" w:rsidRPr="00354276">
        <w:t>Benefit sharing is particularly important because “</w:t>
      </w:r>
      <w:r w:rsidR="00354276" w:rsidRPr="00354276">
        <w:rPr>
          <w:color w:val="1A1718"/>
          <w:lang w:val="en-US"/>
        </w:rPr>
        <w:t>the lack of economic opportunities and developments have critical implications for the future” of Indigenous Peoples’ societies and cultures.</w:t>
      </w:r>
      <w:r w:rsidR="00354276" w:rsidRPr="00354276">
        <w:rPr>
          <w:rStyle w:val="FootnoteReference"/>
          <w:color w:val="1A1718"/>
          <w:lang w:val="en-US"/>
        </w:rPr>
        <w:footnoteReference w:id="361"/>
      </w:r>
    </w:p>
    <w:p w14:paraId="782FC16D" w14:textId="49C7CE99" w:rsidR="004035DD" w:rsidRPr="00354276" w:rsidRDefault="008D0707" w:rsidP="00354276">
      <w:pPr>
        <w:widowControl w:val="0"/>
        <w:tabs>
          <w:tab w:val="left" w:pos="220"/>
          <w:tab w:val="left" w:pos="720"/>
        </w:tabs>
        <w:autoSpaceDE w:val="0"/>
        <w:autoSpaceDN w:val="0"/>
        <w:adjustRightInd w:val="0"/>
        <w:spacing w:after="266"/>
        <w:rPr>
          <w:color w:val="1A1718"/>
          <w:lang w:val="en-US"/>
        </w:rPr>
      </w:pPr>
      <w:r>
        <w:rPr>
          <w:color w:val="1A1718"/>
          <w:lang w:val="en-US"/>
        </w:rPr>
        <w:t>The Arctic Council had made numerous recommendations about ensuring that Indigenous Peoples benefit from the activities taking place in the Arctic.</w:t>
      </w:r>
      <w:bookmarkStart w:id="96" w:name="_Ref334009634"/>
      <w:r>
        <w:rPr>
          <w:rStyle w:val="FootnoteReference"/>
          <w:color w:val="1A1718"/>
          <w:lang w:val="en-US"/>
        </w:rPr>
        <w:footnoteReference w:id="362"/>
      </w:r>
      <w:bookmarkEnd w:id="96"/>
      <w:r w:rsidR="00257969">
        <w:rPr>
          <w:color w:val="1A1718"/>
          <w:lang w:val="en-US"/>
        </w:rPr>
        <w:t xml:space="preserve"> These recommendations address a variety of ways in which training, employment, </w:t>
      </w:r>
      <w:r w:rsidR="000476F7">
        <w:rPr>
          <w:color w:val="1A1718"/>
          <w:lang w:val="en-US"/>
        </w:rPr>
        <w:t xml:space="preserve">infrastructure, health care </w:t>
      </w:r>
      <w:r w:rsidR="00257969">
        <w:rPr>
          <w:color w:val="1A1718"/>
          <w:lang w:val="en-US"/>
        </w:rPr>
        <w:t>and financia</w:t>
      </w:r>
      <w:r w:rsidR="000476F7">
        <w:rPr>
          <w:color w:val="1A1718"/>
          <w:lang w:val="en-US"/>
        </w:rPr>
        <w:t>l</w:t>
      </w:r>
      <w:r w:rsidR="00257969">
        <w:rPr>
          <w:color w:val="1A1718"/>
          <w:lang w:val="en-US"/>
        </w:rPr>
        <w:t xml:space="preserve"> benefits to Indigenous Peoples can</w:t>
      </w:r>
      <w:r w:rsidR="004D2959">
        <w:rPr>
          <w:color w:val="1A1718"/>
          <w:lang w:val="en-US"/>
        </w:rPr>
        <w:t xml:space="preserve"> </w:t>
      </w:r>
      <w:r w:rsidR="00257969">
        <w:rPr>
          <w:color w:val="1A1718"/>
          <w:lang w:val="en-US"/>
        </w:rPr>
        <w:t>be increased</w:t>
      </w:r>
      <w:r w:rsidR="004D2959">
        <w:rPr>
          <w:color w:val="1A1718"/>
          <w:lang w:val="en-US"/>
        </w:rPr>
        <w:t>,</w:t>
      </w:r>
      <w:r w:rsidR="00257969">
        <w:rPr>
          <w:color w:val="1A1718"/>
          <w:lang w:val="en-US"/>
        </w:rPr>
        <w:t xml:space="preserve"> inclu</w:t>
      </w:r>
      <w:r w:rsidR="000476F7">
        <w:rPr>
          <w:color w:val="1A1718"/>
          <w:lang w:val="en-US"/>
        </w:rPr>
        <w:t>di</w:t>
      </w:r>
      <w:r w:rsidR="000C18D3">
        <w:rPr>
          <w:color w:val="1A1718"/>
          <w:lang w:val="en-US"/>
        </w:rPr>
        <w:t xml:space="preserve">ng through better governance, </w:t>
      </w:r>
      <w:r w:rsidR="00257969">
        <w:rPr>
          <w:color w:val="1A1718"/>
          <w:lang w:val="en-US"/>
        </w:rPr>
        <w:t>agreements between I</w:t>
      </w:r>
      <w:r w:rsidR="000476F7">
        <w:rPr>
          <w:color w:val="1A1718"/>
          <w:lang w:val="en-US"/>
        </w:rPr>
        <w:t>ndigenous Peoples and compani</w:t>
      </w:r>
      <w:r w:rsidR="000C18D3">
        <w:rPr>
          <w:color w:val="1A1718"/>
          <w:lang w:val="en-US"/>
        </w:rPr>
        <w:t xml:space="preserve">es, and decisions by outside entities to </w:t>
      </w:r>
      <w:r w:rsidR="00C55309">
        <w:rPr>
          <w:color w:val="1A1718"/>
          <w:lang w:val="en-US"/>
        </w:rPr>
        <w:t xml:space="preserve">share project benefits with </w:t>
      </w:r>
      <w:r w:rsidR="000C18D3">
        <w:rPr>
          <w:color w:val="1A1718"/>
          <w:lang w:val="en-US"/>
        </w:rPr>
        <w:t>Indigenous Peoples.</w:t>
      </w:r>
      <w:r w:rsidR="00257969">
        <w:rPr>
          <w:color w:val="1A1718"/>
          <w:lang w:val="en-US"/>
        </w:rPr>
        <w:t xml:space="preserve">  </w:t>
      </w:r>
    </w:p>
    <w:p w14:paraId="4EE610D4" w14:textId="4A65560D" w:rsidR="007D7F24" w:rsidRDefault="00B50427" w:rsidP="007D7F24">
      <w:pPr>
        <w:widowControl w:val="0"/>
        <w:autoSpaceDE w:val="0"/>
        <w:autoSpaceDN w:val="0"/>
        <w:adjustRightInd w:val="0"/>
      </w:pPr>
      <w:r w:rsidRPr="00354276">
        <w:t xml:space="preserve">One important form of engagement is the economic participation of </w:t>
      </w:r>
      <w:r w:rsidR="00C95A84" w:rsidRPr="00354276">
        <w:t>Indigenous</w:t>
      </w:r>
      <w:r w:rsidR="00FC63E1" w:rsidRPr="00354276">
        <w:t xml:space="preserve"> Peoples</w:t>
      </w:r>
      <w:r w:rsidRPr="00354276">
        <w:t xml:space="preserve"> </w:t>
      </w:r>
      <w:r w:rsidR="00C51B8D" w:rsidRPr="00354276">
        <w:t xml:space="preserve">and communities </w:t>
      </w:r>
      <w:r w:rsidRPr="00354276">
        <w:t xml:space="preserve">in the activities taking place in their traditional lands and waters. This form of engagement is based on </w:t>
      </w:r>
      <w:r w:rsidR="00C95A84" w:rsidRPr="00354276">
        <w:t>Indigenous</w:t>
      </w:r>
      <w:r w:rsidRPr="00354276">
        <w:t xml:space="preserve"> rights to the economic value of development activities on their traditional lands</w:t>
      </w:r>
      <w:r w:rsidRPr="00925B59">
        <w:t xml:space="preserve">, and it is distinct from compensation for damages to traditional </w:t>
      </w:r>
      <w:r w:rsidR="00C95A84">
        <w:t>Indigenous</w:t>
      </w:r>
      <w:r w:rsidRPr="00925B59">
        <w:t xml:space="preserve"> use of that land that cannot be mitigated.</w:t>
      </w:r>
      <w:r w:rsidRPr="00925B59">
        <w:rPr>
          <w:rStyle w:val="FootnoteReference"/>
        </w:rPr>
        <w:footnoteReference w:id="363"/>
      </w:r>
      <w:r w:rsidR="007D7F24">
        <w:t xml:space="preserve"> For example, </w:t>
      </w:r>
      <w:r w:rsidR="007D7F24" w:rsidRPr="00B53CDC">
        <w:t>AMAP recommends that Indigenous communities be consulted to ens</w:t>
      </w:r>
      <w:r w:rsidR="007D7F24" w:rsidRPr="00AF1419">
        <w:t>ure, among other things, that “advantage is taken of opportunities afforded by the activity.”</w:t>
      </w:r>
      <w:r w:rsidR="007D7F24" w:rsidRPr="00B53CDC">
        <w:rPr>
          <w:rStyle w:val="FootnoteReference"/>
        </w:rPr>
        <w:footnoteReference w:id="364"/>
      </w:r>
      <w:r w:rsidR="007D7F24" w:rsidRPr="00B53CDC">
        <w:t xml:space="preserve"> The Arctic Ocean Review sets out necessary steps to realizing the potential local benefit of economic activity</w:t>
      </w:r>
      <w:r w:rsidR="007D7F24" w:rsidRPr="00AF1419">
        <w:t>, “</w:t>
      </w:r>
      <w:r w:rsidR="007D7F24" w:rsidRPr="00B53CDC">
        <w:t xml:space="preserve">including local involvement in (1) determining local needs and interests to set appropriate goals, (2) establishing appropriate governance mechanisms to ensure local needs and interests are considered, (3) participating effectively in those governance mechanisms and related instruments, and (4) identifying other </w:t>
      </w:r>
      <w:r w:rsidR="007D7F24" w:rsidRPr="00B53CDC">
        <w:lastRenderedPageBreak/>
        <w:t>relevant opportunities for such involvement.”</w:t>
      </w:r>
      <w:r w:rsidR="007D7F24" w:rsidRPr="00B53CDC">
        <w:rPr>
          <w:rStyle w:val="FootnoteReference"/>
        </w:rPr>
        <w:footnoteReference w:id="365"/>
      </w:r>
      <w:r w:rsidR="007D7F24" w:rsidRPr="00B53CDC">
        <w:t xml:space="preserve"> </w:t>
      </w:r>
    </w:p>
    <w:p w14:paraId="498135CE" w14:textId="77777777" w:rsidR="00B50427" w:rsidRPr="00925B59" w:rsidRDefault="00B50427" w:rsidP="00B12B13">
      <w:pPr>
        <w:widowControl w:val="0"/>
        <w:autoSpaceDE w:val="0"/>
        <w:autoSpaceDN w:val="0"/>
        <w:adjustRightInd w:val="0"/>
      </w:pPr>
    </w:p>
    <w:p w14:paraId="3D0B1238" w14:textId="6FB6808E" w:rsidR="00AF1419" w:rsidRDefault="00B50427" w:rsidP="00B12B13">
      <w:pPr>
        <w:widowControl w:val="0"/>
        <w:autoSpaceDE w:val="0"/>
        <w:autoSpaceDN w:val="0"/>
        <w:adjustRightInd w:val="0"/>
      </w:pPr>
      <w:r w:rsidRPr="00925B59">
        <w:t xml:space="preserve">The right of </w:t>
      </w:r>
      <w:r w:rsidR="00C95A84">
        <w:t>Indigenous</w:t>
      </w:r>
      <w:r w:rsidR="00FC63E1">
        <w:t xml:space="preserve"> Peoples</w:t>
      </w:r>
      <w:r w:rsidRPr="00925B59">
        <w:t xml:space="preserve"> to the economic value of </w:t>
      </w:r>
      <w:r w:rsidR="0043651B">
        <w:t>activities in the Arctic</w:t>
      </w:r>
      <w:r w:rsidR="0043651B" w:rsidRPr="00925B59">
        <w:t xml:space="preserve"> </w:t>
      </w:r>
      <w:r w:rsidRPr="00925B59">
        <w:t xml:space="preserve">is recognized in international and national law. For example, international law provides that when a state retains ownership of mineral or subsurface resources, </w:t>
      </w:r>
      <w:r w:rsidR="00C95A84">
        <w:t>Indigenous</w:t>
      </w:r>
      <w:r w:rsidR="00FC63E1">
        <w:t xml:space="preserve"> Peoples</w:t>
      </w:r>
      <w:r w:rsidRPr="00925B59">
        <w:t xml:space="preserve"> have rights to participation in the benefits from these </w:t>
      </w:r>
      <w:r w:rsidRPr="00B53CDC">
        <w:t>resources.</w:t>
      </w:r>
      <w:r w:rsidRPr="00B53CDC">
        <w:rPr>
          <w:rStyle w:val="FootnoteReference"/>
        </w:rPr>
        <w:footnoteReference w:id="366"/>
      </w:r>
      <w:r w:rsidR="00A815ED" w:rsidRPr="00B53CDC">
        <w:t xml:space="preserve"> </w:t>
      </w:r>
    </w:p>
    <w:p w14:paraId="2236B686" w14:textId="77777777" w:rsidR="00AF1419" w:rsidRDefault="00AF1419" w:rsidP="00B12B13">
      <w:pPr>
        <w:widowControl w:val="0"/>
        <w:autoSpaceDE w:val="0"/>
        <w:autoSpaceDN w:val="0"/>
        <w:adjustRightInd w:val="0"/>
      </w:pPr>
    </w:p>
    <w:p w14:paraId="7CFA0CEE" w14:textId="6CC6D06C" w:rsidR="00B50427" w:rsidRPr="00D87BEC" w:rsidRDefault="004369BD" w:rsidP="00B12B13">
      <w:pPr>
        <w:widowControl w:val="0"/>
        <w:autoSpaceDE w:val="0"/>
        <w:autoSpaceDN w:val="0"/>
        <w:adjustRightInd w:val="0"/>
      </w:pPr>
      <w:r w:rsidRPr="00B53CDC">
        <w:t>As the Convention on Biological Diversity explains, Indigenous Peoples also have a right to the equitably</w:t>
      </w:r>
      <w:r w:rsidRPr="00D87BEC">
        <w:t xml:space="preserve"> sharing of benefits arising from the use of Indigenous Knowledge.</w:t>
      </w:r>
      <w:r w:rsidRPr="00D87BEC">
        <w:rPr>
          <w:rStyle w:val="FootnoteReference"/>
        </w:rPr>
        <w:footnoteReference w:id="367"/>
      </w:r>
      <w:r w:rsidR="00FE4F1F" w:rsidRPr="00D87BEC">
        <w:t xml:space="preserve"> In addition, </w:t>
      </w:r>
      <w:r w:rsidR="00F945FB" w:rsidRPr="00D87BEC">
        <w:rPr>
          <w:color w:val="262626"/>
          <w:lang w:val="en-US"/>
        </w:rPr>
        <w:t>benefits from commercial development of genetic resources should be “shared fairly and equitably with all those who have been identified as having contributed to the resource management, scientific and/or commercial process,” including Indigenous Peoples.</w:t>
      </w:r>
      <w:r w:rsidR="00F945FB" w:rsidRPr="00D87BEC">
        <w:rPr>
          <w:rStyle w:val="FootnoteReference"/>
          <w:color w:val="262626"/>
          <w:lang w:val="en-US"/>
        </w:rPr>
        <w:footnoteReference w:id="368"/>
      </w:r>
    </w:p>
    <w:p w14:paraId="1FCEF249" w14:textId="77777777" w:rsidR="00B50427" w:rsidRPr="00925B59" w:rsidRDefault="00B50427" w:rsidP="00B12B13">
      <w:pPr>
        <w:widowControl w:val="0"/>
        <w:autoSpaceDE w:val="0"/>
        <w:autoSpaceDN w:val="0"/>
        <w:adjustRightInd w:val="0"/>
      </w:pPr>
    </w:p>
    <w:p w14:paraId="75B3D529" w14:textId="642A8B2F" w:rsidR="00A45435" w:rsidRDefault="00A45435" w:rsidP="00017073">
      <w:pPr>
        <w:widowControl w:val="0"/>
        <w:autoSpaceDE w:val="0"/>
        <w:autoSpaceDN w:val="0"/>
        <w:adjustRightInd w:val="0"/>
        <w:spacing w:after="240"/>
      </w:pPr>
      <w:r>
        <w:t xml:space="preserve">Indigenous businesses can provide a direct </w:t>
      </w:r>
      <w:r w:rsidR="00B46731">
        <w:t xml:space="preserve">and meaningful </w:t>
      </w:r>
      <w:r>
        <w:t>avenue for benefits to Indigenous Peoples.</w:t>
      </w:r>
      <w:r w:rsidR="00764FF5">
        <w:rPr>
          <w:rStyle w:val="FootnoteReference"/>
        </w:rPr>
        <w:footnoteReference w:id="369"/>
      </w:r>
      <w:r>
        <w:t xml:space="preserve"> </w:t>
      </w:r>
      <w:r w:rsidR="00807104">
        <w:t xml:space="preserve">To support the creation of Indigenous businesses, </w:t>
      </w:r>
      <w:r w:rsidR="00443547">
        <w:t>m</w:t>
      </w:r>
      <w:r w:rsidR="002D48A2">
        <w:t xml:space="preserve">aterials can be developed to </w:t>
      </w:r>
      <w:r>
        <w:t>provide Indigenous Peoples with information about business development.</w:t>
      </w:r>
      <w:r>
        <w:rPr>
          <w:rStyle w:val="FootnoteReference"/>
        </w:rPr>
        <w:footnoteReference w:id="370"/>
      </w:r>
      <w:r w:rsidR="00807104">
        <w:t xml:space="preserve"> </w:t>
      </w:r>
      <w:r w:rsidR="00807104" w:rsidRPr="00925B59">
        <w:t xml:space="preserve">Governments can </w:t>
      </w:r>
      <w:r w:rsidR="00807104">
        <w:t xml:space="preserve">also </w:t>
      </w:r>
      <w:r w:rsidR="00807104" w:rsidRPr="00925B59">
        <w:t>support benefit sharing by helping local business development</w:t>
      </w:r>
      <w:r w:rsidR="00524B8B">
        <w:t xml:space="preserve"> through legislation granting certain </w:t>
      </w:r>
      <w:r w:rsidR="00524B8B" w:rsidRPr="0088471D">
        <w:t>benefits to Indigenous businesses</w:t>
      </w:r>
      <w:r w:rsidR="00807104" w:rsidRPr="0088471D">
        <w:t>.</w:t>
      </w:r>
      <w:r w:rsidR="00807104" w:rsidRPr="0088471D">
        <w:rPr>
          <w:rStyle w:val="FootnoteReference"/>
        </w:rPr>
        <w:footnoteReference w:id="371"/>
      </w:r>
      <w:r w:rsidR="00765429" w:rsidRPr="0088471D">
        <w:t xml:space="preserve"> </w:t>
      </w:r>
      <w:r w:rsidR="00524B8B" w:rsidRPr="0088471D">
        <w:t>Land claim agreements also support Indigenous businesses. For example, t</w:t>
      </w:r>
      <w:r w:rsidR="00765429" w:rsidRPr="0088471D">
        <w:t>he Nu</w:t>
      </w:r>
      <w:r w:rsidR="00524B8B" w:rsidRPr="0088471D">
        <w:t>navut Land Claims Agreement</w:t>
      </w:r>
      <w:r w:rsidR="00765429" w:rsidRPr="0088471D">
        <w:t xml:space="preserve"> provides support for Inuit businesses and organizations to become competitive for government contracts.</w:t>
      </w:r>
      <w:r w:rsidR="00765429" w:rsidRPr="0088471D">
        <w:rPr>
          <w:rStyle w:val="FootnoteReference"/>
        </w:rPr>
        <w:footnoteReference w:id="372"/>
      </w:r>
      <w:r w:rsidR="00765429" w:rsidRPr="0088471D">
        <w:t xml:space="preserve"> </w:t>
      </w:r>
      <w:r w:rsidR="0088471D" w:rsidRPr="0088471D">
        <w:t xml:space="preserve">The </w:t>
      </w:r>
      <w:proofErr w:type="spellStart"/>
      <w:r w:rsidR="0088471D" w:rsidRPr="00D8359C">
        <w:rPr>
          <w:bCs/>
          <w:lang w:val="en-US"/>
        </w:rPr>
        <w:t>Nunavummi</w:t>
      </w:r>
      <w:proofErr w:type="spellEnd"/>
      <w:r w:rsidR="0088471D" w:rsidRPr="00D8359C">
        <w:rPr>
          <w:bCs/>
          <w:lang w:val="en-US"/>
        </w:rPr>
        <w:t xml:space="preserve"> </w:t>
      </w:r>
      <w:proofErr w:type="spellStart"/>
      <w:r w:rsidR="0088471D" w:rsidRPr="00D8359C">
        <w:rPr>
          <w:bCs/>
          <w:lang w:val="en-US"/>
        </w:rPr>
        <w:t>Nangminiqaqtunik</w:t>
      </w:r>
      <w:proofErr w:type="spellEnd"/>
      <w:r w:rsidR="0088471D" w:rsidRPr="00D8359C">
        <w:rPr>
          <w:bCs/>
          <w:lang w:val="en-US"/>
        </w:rPr>
        <w:t xml:space="preserve"> </w:t>
      </w:r>
      <w:proofErr w:type="spellStart"/>
      <w:r w:rsidR="0088471D" w:rsidRPr="00D8359C">
        <w:rPr>
          <w:bCs/>
          <w:lang w:val="en-US"/>
        </w:rPr>
        <w:t>Ikajuuti</w:t>
      </w:r>
      <w:proofErr w:type="spellEnd"/>
      <w:r w:rsidR="0088471D" w:rsidRPr="00D8359C">
        <w:rPr>
          <w:bCs/>
          <w:lang w:val="en-US"/>
        </w:rPr>
        <w:t xml:space="preserve"> (NNI Policy</w:t>
      </w:r>
      <w:r w:rsidR="0088471D">
        <w:rPr>
          <w:bCs/>
          <w:lang w:val="en-US"/>
        </w:rPr>
        <w:t>) provides detailed procedures for fulfilling this obligation.</w:t>
      </w:r>
      <w:r w:rsidR="0088471D">
        <w:rPr>
          <w:rStyle w:val="FootnoteReference"/>
          <w:bCs/>
          <w:lang w:val="en-US"/>
        </w:rPr>
        <w:footnoteReference w:id="373"/>
      </w:r>
    </w:p>
    <w:p w14:paraId="3A43D6CD" w14:textId="77F13544" w:rsidR="003A5634" w:rsidRPr="00925B59" w:rsidRDefault="00764FF5" w:rsidP="00B12B13">
      <w:pPr>
        <w:widowControl w:val="0"/>
        <w:autoSpaceDE w:val="0"/>
        <w:autoSpaceDN w:val="0"/>
        <w:adjustRightInd w:val="0"/>
      </w:pPr>
      <w:r>
        <w:t>In cases where activities are not solely owned and operated by Indigenous Peoples, a</w:t>
      </w:r>
      <w:r w:rsidR="00B50427" w:rsidRPr="00925B59">
        <w:t>rrangements that provide for an on-going share in th</w:t>
      </w:r>
      <w:r w:rsidR="00164D92">
        <w:t>e economic profits of the</w:t>
      </w:r>
      <w:r w:rsidR="00B50427" w:rsidRPr="00925B59">
        <w:t xml:space="preserve"> activity, or for direct</w:t>
      </w:r>
      <w:r w:rsidR="00CB31ED">
        <w:t xml:space="preserve"> participation in the activity</w:t>
      </w:r>
      <w:r w:rsidR="00B50427" w:rsidRPr="00925B59">
        <w:t xml:space="preserve">, are more likely to genuinely support the development and self-determination of the affected </w:t>
      </w:r>
      <w:r w:rsidR="00C95A84">
        <w:t>Indigenous</w:t>
      </w:r>
      <w:r w:rsidR="00FC63E1">
        <w:t xml:space="preserve"> Peoples</w:t>
      </w:r>
      <w:r w:rsidR="00B50427" w:rsidRPr="00925B59">
        <w:t>, as opposed to one-time payouts.</w:t>
      </w:r>
      <w:bookmarkStart w:id="97" w:name="_Ref334009661"/>
      <w:r w:rsidR="00B50427" w:rsidRPr="00925B59">
        <w:rPr>
          <w:rStyle w:val="FootnoteReference"/>
        </w:rPr>
        <w:footnoteReference w:id="374"/>
      </w:r>
      <w:bookmarkEnd w:id="97"/>
      <w:r w:rsidR="00B50427" w:rsidRPr="00925B59">
        <w:t xml:space="preserve"> For example, in Alaska, the government must pay a percentage of royalties and revenues from minerals produced from leases on specified </w:t>
      </w:r>
      <w:r w:rsidR="00C95A84">
        <w:t>Indigenous</w:t>
      </w:r>
      <w:r w:rsidR="00B50427" w:rsidRPr="00925B59">
        <w:t xml:space="preserve"> lands.</w:t>
      </w:r>
      <w:r w:rsidR="00B50427" w:rsidRPr="00925B59">
        <w:rPr>
          <w:rStyle w:val="FootnoteReference"/>
        </w:rPr>
        <w:footnoteReference w:id="375"/>
      </w:r>
      <w:r w:rsidR="00B50427" w:rsidRPr="00925B59">
        <w:t xml:space="preserve"> Similarly, in Canada, the Inuvialuit Final Agreement creates four corporations that receive profits from development on </w:t>
      </w:r>
      <w:r w:rsidR="00B50427" w:rsidRPr="00925B59">
        <w:lastRenderedPageBreak/>
        <w:t>Inuvialuit lands and distributes it to beneficiaries.</w:t>
      </w:r>
      <w:r w:rsidR="00B50427" w:rsidRPr="00925B59">
        <w:rPr>
          <w:rStyle w:val="FootnoteReference"/>
        </w:rPr>
        <w:footnoteReference w:id="376"/>
      </w:r>
      <w:r w:rsidR="00B50427" w:rsidRPr="00925B59">
        <w:t xml:space="preserve"> </w:t>
      </w:r>
      <w:r w:rsidR="003B73DD">
        <w:t>The Nunavut Land Claims</w:t>
      </w:r>
      <w:r w:rsidR="00164D92">
        <w:t xml:space="preserve"> Agreement also provides </w:t>
      </w:r>
      <w:r w:rsidR="0007018F">
        <w:t>for annual resource royalties.</w:t>
      </w:r>
      <w:r w:rsidR="0007018F">
        <w:rPr>
          <w:rStyle w:val="FootnoteReference"/>
        </w:rPr>
        <w:footnoteReference w:id="377"/>
      </w:r>
      <w:r w:rsidR="0007018F">
        <w:t xml:space="preserve"> </w:t>
      </w:r>
      <w:r w:rsidR="002376E2">
        <w:t>Indigenous Peoples</w:t>
      </w:r>
      <w:r w:rsidR="005612A0">
        <w:t xml:space="preserve"> are also shareholders in many oil and gas projects in Northern Canada and Alaska.</w:t>
      </w:r>
      <w:r w:rsidR="002376E2">
        <w:t xml:space="preserve"> </w:t>
      </w:r>
      <w:r w:rsidR="00F4187F" w:rsidRPr="00925B59">
        <w:t xml:space="preserve">In Russia, </w:t>
      </w:r>
      <w:r w:rsidR="00F4187F">
        <w:t xml:space="preserve">under </w:t>
      </w:r>
      <w:r w:rsidR="00F4187F" w:rsidRPr="00925B59">
        <w:t xml:space="preserve">the </w:t>
      </w:r>
      <w:r w:rsidR="00F4187F" w:rsidRPr="00AE2AF8">
        <w:t xml:space="preserve">Law of </w:t>
      </w:r>
      <w:r w:rsidR="00F4187F">
        <w:t xml:space="preserve">the </w:t>
      </w:r>
      <w:r w:rsidR="00F4187F" w:rsidRPr="00AE2AF8">
        <w:t>Republic of Sakha</w:t>
      </w:r>
      <w:r w:rsidR="00F4187F">
        <w:t xml:space="preserve">, </w:t>
      </w:r>
      <w:r w:rsidR="00F4187F" w:rsidRPr="00925B59">
        <w:t xml:space="preserve">industrial development </w:t>
      </w:r>
      <w:r w:rsidR="00F4187F">
        <w:t xml:space="preserve">is permissible in subsurface areas </w:t>
      </w:r>
      <w:r w:rsidR="00F4187F" w:rsidRPr="00925B59">
        <w:t xml:space="preserve">on the traditional lands of </w:t>
      </w:r>
      <w:r w:rsidR="00F4187F">
        <w:t>Indigenous Peoples</w:t>
      </w:r>
      <w:r w:rsidR="00F4187F" w:rsidRPr="00925B59">
        <w:t xml:space="preserve"> </w:t>
      </w:r>
      <w:r w:rsidR="00F4187F">
        <w:t>so long as payments are made to the local budget in support and socio-economic development for use of the area</w:t>
      </w:r>
      <w:r w:rsidR="00F4187F" w:rsidRPr="00925B59">
        <w:t>.</w:t>
      </w:r>
      <w:r w:rsidR="00F4187F" w:rsidRPr="00925B59">
        <w:rPr>
          <w:rStyle w:val="FootnoteReference"/>
        </w:rPr>
        <w:footnoteReference w:id="378"/>
      </w:r>
      <w:r w:rsidR="00F4187F">
        <w:t xml:space="preserve"> </w:t>
      </w:r>
      <w:r w:rsidR="00515A8D">
        <w:t>Tax revenues from development activities are another important source of economic benefits.</w:t>
      </w:r>
    </w:p>
    <w:p w14:paraId="715B0D67" w14:textId="77777777" w:rsidR="003A5634" w:rsidRPr="00925B59" w:rsidRDefault="003A5634" w:rsidP="00B12B13">
      <w:pPr>
        <w:widowControl w:val="0"/>
        <w:autoSpaceDE w:val="0"/>
        <w:autoSpaceDN w:val="0"/>
        <w:adjustRightInd w:val="0"/>
      </w:pPr>
    </w:p>
    <w:p w14:paraId="3A15CE3E" w14:textId="6527F64F" w:rsidR="00027157" w:rsidRDefault="00CA5880" w:rsidP="005C6416">
      <w:pPr>
        <w:widowControl w:val="0"/>
        <w:tabs>
          <w:tab w:val="left" w:pos="220"/>
          <w:tab w:val="left" w:pos="720"/>
        </w:tabs>
        <w:autoSpaceDE w:val="0"/>
        <w:autoSpaceDN w:val="0"/>
        <w:adjustRightInd w:val="0"/>
        <w:spacing w:after="266"/>
      </w:pPr>
      <w:r>
        <w:t xml:space="preserve">Training and employment </w:t>
      </w:r>
      <w:r w:rsidR="00027157">
        <w:t xml:space="preserve">are additional means of benefit </w:t>
      </w:r>
      <w:r>
        <w:t xml:space="preserve">sharing. </w:t>
      </w:r>
      <w:r w:rsidR="005963AB">
        <w:t xml:space="preserve">Inuit </w:t>
      </w:r>
      <w:r w:rsidR="00DD781F">
        <w:t>policies state</w:t>
      </w:r>
      <w:r w:rsidR="005963AB">
        <w:t xml:space="preserve"> that</w:t>
      </w:r>
      <w:r w:rsidR="00DD781F">
        <w:t xml:space="preserve"> companies should provide Inuit training and management development programs, and that</w:t>
      </w:r>
      <w:r w:rsidR="005963AB">
        <w:t xml:space="preserve"> Inuit must derive direct and substantial employment income benefits and the maximization of Inuit employment in resource development activities</w:t>
      </w:r>
      <w:r w:rsidR="00DD781F">
        <w:t>.</w:t>
      </w:r>
      <w:r w:rsidR="005963AB">
        <w:rPr>
          <w:rStyle w:val="FootnoteReference"/>
        </w:rPr>
        <w:footnoteReference w:id="379"/>
      </w:r>
      <w:r w:rsidR="00DD781F">
        <w:t xml:space="preserve"> </w:t>
      </w:r>
      <w:r w:rsidR="005B2396">
        <w:t>Policy guidelines</w:t>
      </w:r>
      <w:r w:rsidR="0043651B">
        <w:t xml:space="preserve"> by Indigenous Peoples also advise that </w:t>
      </w:r>
      <w:r w:rsidR="005B2396">
        <w:t xml:space="preserve">Indigenous Peoples be </w:t>
      </w:r>
      <w:r w:rsidR="0043651B">
        <w:t>trained and employed in research activities.</w:t>
      </w:r>
      <w:r w:rsidR="0043651B">
        <w:rPr>
          <w:rStyle w:val="FootnoteReference"/>
        </w:rPr>
        <w:footnoteReference w:id="380"/>
      </w:r>
      <w:r w:rsidR="009376E2">
        <w:t xml:space="preserve"> The AACA (a) report recommends training </w:t>
      </w:r>
      <w:r w:rsidR="00972563">
        <w:t xml:space="preserve">and employing Indigenous Peoples </w:t>
      </w:r>
      <w:r w:rsidR="009376E2">
        <w:t>in climate change adaptation activities.</w:t>
      </w:r>
      <w:r w:rsidR="009376E2">
        <w:rPr>
          <w:rStyle w:val="FootnoteReference"/>
        </w:rPr>
        <w:footnoteReference w:id="381"/>
      </w:r>
    </w:p>
    <w:p w14:paraId="6F731178" w14:textId="32E486DD" w:rsidR="00A11369" w:rsidRDefault="005C6416" w:rsidP="005C6416">
      <w:pPr>
        <w:widowControl w:val="0"/>
        <w:tabs>
          <w:tab w:val="left" w:pos="220"/>
          <w:tab w:val="left" w:pos="720"/>
        </w:tabs>
        <w:autoSpaceDE w:val="0"/>
        <w:autoSpaceDN w:val="0"/>
        <w:adjustRightInd w:val="0"/>
        <w:spacing w:after="266"/>
      </w:pPr>
      <w:r>
        <w:t>Benefit sharing</w:t>
      </w:r>
      <w:r w:rsidR="006D029F">
        <w:t xml:space="preserve"> can </w:t>
      </w:r>
      <w:r>
        <w:t>be provided through</w:t>
      </w:r>
      <w:r w:rsidR="0007018F">
        <w:t xml:space="preserve"> agreements between </w:t>
      </w:r>
      <w:r w:rsidR="00C95A84">
        <w:t>Indigenous</w:t>
      </w:r>
      <w:r w:rsidR="00FC63E1">
        <w:t xml:space="preserve"> Peoples</w:t>
      </w:r>
      <w:r w:rsidR="0007018F">
        <w:t xml:space="preserve"> and developers.</w:t>
      </w:r>
      <w:r w:rsidR="00027157">
        <w:t xml:space="preserve"> </w:t>
      </w:r>
      <w:r w:rsidR="00A11369">
        <w:t>As noted by the</w:t>
      </w:r>
      <w:r w:rsidR="00A11369" w:rsidRPr="00925B59">
        <w:t xml:space="preserve"> Sustainable Development Working Group</w:t>
      </w:r>
      <w:r w:rsidR="00A11369">
        <w:t>,</w:t>
      </w:r>
      <w:r w:rsidR="00A11369" w:rsidRPr="00925B59">
        <w:t xml:space="preserve"> </w:t>
      </w:r>
      <w:r w:rsidR="00A11369">
        <w:t>these agreements</w:t>
      </w:r>
      <w:r w:rsidR="00A11369" w:rsidRPr="005C6416">
        <w:rPr>
          <w:rFonts w:eastAsia="Times New Roman"/>
          <w:color w:val="000000"/>
          <w:lang w:val="en-US"/>
        </w:rPr>
        <w:t xml:space="preserve"> establish formal relationships </w:t>
      </w:r>
      <w:r w:rsidR="00A11369">
        <w:rPr>
          <w:rFonts w:eastAsia="Times New Roman"/>
          <w:color w:val="000000"/>
          <w:lang w:val="en-US"/>
        </w:rPr>
        <w:t>to reduce the predicted impacts</w:t>
      </w:r>
      <w:r w:rsidR="00A11369" w:rsidRPr="005C6416">
        <w:rPr>
          <w:rFonts w:eastAsia="Times New Roman"/>
          <w:color w:val="000000"/>
          <w:lang w:val="en-US"/>
        </w:rPr>
        <w:t xml:space="preserve"> and secure economic benefit for affected communities.</w:t>
      </w:r>
      <w:r w:rsidR="00A11369" w:rsidRPr="00925B59">
        <w:rPr>
          <w:rStyle w:val="FootnoteReference"/>
        </w:rPr>
        <w:footnoteReference w:id="382"/>
      </w:r>
      <w:r w:rsidR="00A11369">
        <w:rPr>
          <w:rFonts w:eastAsia="Times New Roman"/>
          <w:color w:val="000000"/>
          <w:lang w:val="en-US"/>
        </w:rPr>
        <w:t xml:space="preserve"> </w:t>
      </w:r>
      <w:r w:rsidR="00997870">
        <w:t>For example, u</w:t>
      </w:r>
      <w:r w:rsidR="00997870" w:rsidRPr="00925B59">
        <w:t xml:space="preserve">nder the Nunavut </w:t>
      </w:r>
      <w:r w:rsidR="00997870">
        <w:t xml:space="preserve">Land Claims </w:t>
      </w:r>
      <w:r w:rsidR="00997870" w:rsidRPr="00925B59">
        <w:t>Agreement in Canada, an Impact and Benefit Agreement (IBAs) is required by any project on Inuit-owned land.</w:t>
      </w:r>
      <w:r w:rsidR="00997870" w:rsidRPr="00925B59">
        <w:rPr>
          <w:rStyle w:val="FootnoteReference"/>
        </w:rPr>
        <w:footnoteReference w:id="383"/>
      </w:r>
      <w:r w:rsidR="00027157">
        <w:t xml:space="preserve"> A</w:t>
      </w:r>
      <w:r w:rsidRPr="005C6416">
        <w:t xml:space="preserve">greements </w:t>
      </w:r>
      <w:r w:rsidR="00027157">
        <w:t xml:space="preserve">between developers and indigenous peoples </w:t>
      </w:r>
      <w:r w:rsidRPr="005C6416">
        <w:t>must be negotiated in “</w:t>
      </w:r>
      <w:r w:rsidRPr="005C6416">
        <w:rPr>
          <w:color w:val="1A1718"/>
          <w:lang w:val="en-US"/>
        </w:rPr>
        <w:t xml:space="preserve">clear and unequivocal terms, so as to ensure them of direct and adequate participation and benefits such as equity participation, revenue sharing </w:t>
      </w:r>
      <w:r w:rsidR="00997870">
        <w:rPr>
          <w:color w:val="1A1718"/>
          <w:lang w:val="en-US"/>
        </w:rPr>
        <w:t>and resource taxation benefits.”</w:t>
      </w:r>
      <w:r w:rsidRPr="005C6416">
        <w:rPr>
          <w:rStyle w:val="FootnoteReference"/>
        </w:rPr>
        <w:footnoteReference w:id="384"/>
      </w:r>
      <w:r>
        <w:rPr>
          <w:rFonts w:ascii="Times" w:hAnsi="Times" w:cs="Times"/>
          <w:color w:val="1A1718"/>
          <w:sz w:val="26"/>
          <w:szCs w:val="26"/>
          <w:lang w:val="en-US"/>
        </w:rPr>
        <w:t xml:space="preserve"> </w:t>
      </w:r>
      <w:r w:rsidR="00027157">
        <w:t>T</w:t>
      </w:r>
      <w:r w:rsidR="00B50427" w:rsidRPr="00925B59">
        <w:t xml:space="preserve">hese agreements can </w:t>
      </w:r>
      <w:r w:rsidR="00027157">
        <w:t xml:space="preserve">also </w:t>
      </w:r>
      <w:r w:rsidR="00B50427" w:rsidRPr="00925B59">
        <w:t xml:space="preserve">outline the terms for preferred access </w:t>
      </w:r>
      <w:r w:rsidR="00B50427" w:rsidRPr="005C6416">
        <w:t xml:space="preserve">to business opportunities and for employment and training opportunities for the </w:t>
      </w:r>
      <w:r w:rsidR="00C95A84" w:rsidRPr="005C6416">
        <w:t>Indigenous</w:t>
      </w:r>
      <w:r w:rsidR="00B50427" w:rsidRPr="005C6416">
        <w:t xml:space="preserve"> entity.</w:t>
      </w:r>
      <w:r w:rsidR="00B50427" w:rsidRPr="005C6416">
        <w:rPr>
          <w:rStyle w:val="FootnoteReference"/>
        </w:rPr>
        <w:footnoteReference w:id="385"/>
      </w:r>
      <w:r w:rsidR="001F3619" w:rsidRPr="005C6416">
        <w:t xml:space="preserve"> </w:t>
      </w:r>
    </w:p>
    <w:p w14:paraId="70F603BF" w14:textId="21E930A0" w:rsidR="001F3619" w:rsidRPr="00A11369" w:rsidRDefault="00027157" w:rsidP="00A11369">
      <w:pPr>
        <w:widowControl w:val="0"/>
        <w:tabs>
          <w:tab w:val="left" w:pos="220"/>
          <w:tab w:val="left" w:pos="720"/>
        </w:tabs>
        <w:autoSpaceDE w:val="0"/>
        <w:autoSpaceDN w:val="0"/>
        <w:adjustRightInd w:val="0"/>
        <w:spacing w:after="266"/>
        <w:rPr>
          <w:rFonts w:ascii="Times" w:hAnsi="Times" w:cs="Times"/>
          <w:color w:val="1A1718"/>
          <w:sz w:val="26"/>
          <w:szCs w:val="26"/>
          <w:lang w:val="en-US"/>
        </w:rPr>
      </w:pPr>
      <w:r>
        <w:t xml:space="preserve">Governments can </w:t>
      </w:r>
      <w:r w:rsidR="00765429">
        <w:t>stress the importance of or require</w:t>
      </w:r>
      <w:r>
        <w:t xml:space="preserve"> these agreements.</w:t>
      </w:r>
      <w:r>
        <w:rPr>
          <w:rStyle w:val="FootnoteReference"/>
        </w:rPr>
        <w:footnoteReference w:id="386"/>
      </w:r>
      <w:r>
        <w:t xml:space="preserve"> </w:t>
      </w:r>
      <w:r w:rsidR="00BE3492" w:rsidRPr="005C6416">
        <w:t xml:space="preserve">Some </w:t>
      </w:r>
      <w:r w:rsidR="00C95A84" w:rsidRPr="005C6416">
        <w:t>Indigenous</w:t>
      </w:r>
      <w:r w:rsidR="00BE3492" w:rsidRPr="005C6416">
        <w:t xml:space="preserve"> engagement protocols require the negotiation of IBA</w:t>
      </w:r>
      <w:r w:rsidR="00E34A6E" w:rsidRPr="005C6416">
        <w:t>s</w:t>
      </w:r>
      <w:r w:rsidR="00BE3492" w:rsidRPr="005C6416">
        <w:t>.</w:t>
      </w:r>
      <w:r w:rsidR="00BE3492" w:rsidRPr="005C6416">
        <w:rPr>
          <w:rStyle w:val="FootnoteReference"/>
        </w:rPr>
        <w:footnoteReference w:id="387"/>
      </w:r>
      <w:r w:rsidR="00A017CC" w:rsidRPr="005C6416">
        <w:t xml:space="preserve"> </w:t>
      </w:r>
      <w:r w:rsidR="00235AE7">
        <w:t xml:space="preserve">Even without formal agreements to provide benefits, organizations conducting activities in the Arctic can promote benefit-sharing, </w:t>
      </w:r>
      <w:r w:rsidR="00235AE7">
        <w:lastRenderedPageBreak/>
        <w:t>for example, through c</w:t>
      </w:r>
      <w:r w:rsidR="0001232F">
        <w:t>odes of conduct that endorse</w:t>
      </w:r>
      <w:r w:rsidR="00235AE7" w:rsidRPr="00925B59">
        <w:t xml:space="preserve"> </w:t>
      </w:r>
      <w:r w:rsidR="00C95A84">
        <w:t>Indigenous</w:t>
      </w:r>
      <w:r w:rsidR="00235AE7" w:rsidRPr="00925B59">
        <w:t xml:space="preserve"> economic engagement.</w:t>
      </w:r>
      <w:r w:rsidR="00235AE7" w:rsidRPr="00925B59">
        <w:rPr>
          <w:rStyle w:val="FootnoteReference"/>
        </w:rPr>
        <w:footnoteReference w:id="388"/>
      </w:r>
      <w:r w:rsidR="0001232F">
        <w:t xml:space="preserve"> </w:t>
      </w:r>
      <w:r w:rsidR="00235AE7">
        <w:t xml:space="preserve">Similarly, organizations can support local hire. </w:t>
      </w:r>
      <w:r w:rsidR="00235AE7" w:rsidRPr="00925B59">
        <w:t>In Nunavik, for example, Inuit are hired as staff for cruise ships.</w:t>
      </w:r>
      <w:bookmarkStart w:id="98" w:name="_Ref334010153"/>
      <w:r w:rsidR="00235AE7" w:rsidRPr="00925B59">
        <w:rPr>
          <w:rStyle w:val="FootnoteReference"/>
        </w:rPr>
        <w:footnoteReference w:id="389"/>
      </w:r>
      <w:bookmarkEnd w:id="98"/>
      <w:r w:rsidR="00235AE7" w:rsidRPr="00925B59">
        <w:t xml:space="preserve">  </w:t>
      </w:r>
    </w:p>
    <w:p w14:paraId="56C63CE8" w14:textId="73C0730D" w:rsidR="00235AE7" w:rsidRDefault="00E5181A" w:rsidP="00235AE7">
      <w:pPr>
        <w:widowControl w:val="0"/>
        <w:autoSpaceDE w:val="0"/>
        <w:autoSpaceDN w:val="0"/>
        <w:adjustRightInd w:val="0"/>
      </w:pPr>
      <w:r>
        <w:t xml:space="preserve">Another form of engagement is employment in public government jobs in regions with </w:t>
      </w:r>
      <w:r w:rsidR="00C95A84">
        <w:t>Indigenous</w:t>
      </w:r>
      <w:r w:rsidR="00FC63E1">
        <w:t xml:space="preserve"> Peoples</w:t>
      </w:r>
      <w:r>
        <w:t xml:space="preserve">. For example, the Nunavut </w:t>
      </w:r>
      <w:r w:rsidR="000A602E">
        <w:t>Land Claims</w:t>
      </w:r>
      <w:r>
        <w:t xml:space="preserve"> Agreement aims to achieve Inuit participation in </w:t>
      </w:r>
      <w:r w:rsidR="000A602E">
        <w:t xml:space="preserve">the territorial </w:t>
      </w:r>
      <w:r>
        <w:t>government at a representative level, through elimination of discrimination, and using recruitment and training programs.</w:t>
      </w:r>
      <w:r>
        <w:rPr>
          <w:rStyle w:val="FootnoteReference"/>
        </w:rPr>
        <w:footnoteReference w:id="390"/>
      </w:r>
      <w:r>
        <w:t xml:space="preserve"> </w:t>
      </w:r>
    </w:p>
    <w:p w14:paraId="6D982053" w14:textId="77777777" w:rsidR="00720C05" w:rsidRDefault="00720C05" w:rsidP="00720C05"/>
    <w:p w14:paraId="31E48A45" w14:textId="35838D99" w:rsidR="00720C05" w:rsidRPr="0001232F" w:rsidRDefault="0049502D" w:rsidP="0001232F">
      <w:pPr>
        <w:widowControl w:val="0"/>
        <w:autoSpaceDE w:val="0"/>
        <w:autoSpaceDN w:val="0"/>
        <w:adjustRightInd w:val="0"/>
      </w:pPr>
      <w:r>
        <w:t>P</w:t>
      </w:r>
      <w:r w:rsidR="0001232F" w:rsidRPr="00925B59">
        <w:t xml:space="preserve">rojects can also provide meaningful experience, training, and employment for </w:t>
      </w:r>
      <w:r w:rsidR="00C95A84">
        <w:t>Indigenous</w:t>
      </w:r>
      <w:r w:rsidR="00FC63E1">
        <w:t xml:space="preserve"> Peoples</w:t>
      </w:r>
      <w:r w:rsidR="0001232F" w:rsidRPr="00925B59">
        <w:t>.</w:t>
      </w:r>
      <w:r w:rsidR="0001232F" w:rsidRPr="00925B59">
        <w:rPr>
          <w:rStyle w:val="FootnoteReference"/>
        </w:rPr>
        <w:footnoteReference w:id="391"/>
      </w:r>
      <w:r w:rsidR="0001232F">
        <w:t xml:space="preserve"> </w:t>
      </w:r>
      <w:r w:rsidR="00720C05" w:rsidRPr="00925B59">
        <w:t xml:space="preserve">For example, the AACA(a) recommends that </w:t>
      </w:r>
      <w:r w:rsidR="00720C05" w:rsidRPr="00925B59">
        <w:rPr>
          <w:rFonts w:eastAsia="Times New Roman"/>
          <w:color w:val="000000"/>
          <w:lang w:val="en-US"/>
        </w:rPr>
        <w:t>climate change adaptation activities “include training of local Arctic leaders, based on the best available adaptation knowledge, drawing from scientific and traditional and experience-based knowledge.”</w:t>
      </w:r>
      <w:r w:rsidR="00720C05" w:rsidRPr="00925B59">
        <w:rPr>
          <w:rStyle w:val="FootnoteReference"/>
          <w:rFonts w:eastAsia="Times New Roman"/>
          <w:color w:val="000000"/>
          <w:lang w:val="en-US"/>
        </w:rPr>
        <w:footnoteReference w:id="392"/>
      </w:r>
      <w:r w:rsidR="00720C05" w:rsidRPr="00925B59">
        <w:rPr>
          <w:rFonts w:eastAsia="Times New Roman"/>
          <w:color w:val="000000"/>
          <w:lang w:val="en-US"/>
        </w:rPr>
        <w:t xml:space="preserve"> Similarly, the Arctic Council’s </w:t>
      </w:r>
      <w:r w:rsidR="00720C05" w:rsidRPr="00925B59">
        <w:rPr>
          <w:color w:val="000000"/>
        </w:rPr>
        <w:t xml:space="preserve">Recommended Practices for Arctic Oil Spill Prevention </w:t>
      </w:r>
      <w:r w:rsidR="00E34A6E">
        <w:rPr>
          <w:color w:val="000000"/>
        </w:rPr>
        <w:t>recommends training communities in oil spill response</w:t>
      </w:r>
      <w:r w:rsidR="00720C05" w:rsidRPr="00925B59">
        <w:rPr>
          <w:color w:val="000000"/>
        </w:rPr>
        <w:t>.</w:t>
      </w:r>
      <w:r w:rsidR="00720C05" w:rsidRPr="00925B59">
        <w:rPr>
          <w:rStyle w:val="FootnoteReference"/>
          <w:color w:val="000000"/>
        </w:rPr>
        <w:footnoteReference w:id="393"/>
      </w:r>
      <w:r w:rsidR="009A1105">
        <w:rPr>
          <w:color w:val="000000"/>
        </w:rPr>
        <w:t xml:space="preserve"> </w:t>
      </w:r>
      <w:r>
        <w:rPr>
          <w:color w:val="000000"/>
        </w:rPr>
        <w:t>Aboriginal Mining Funds in Canada supports the involvement of Indigenous Peoples in the development of mining through training and other activities.</w:t>
      </w:r>
      <w:r>
        <w:rPr>
          <w:rStyle w:val="FootnoteReference"/>
          <w:color w:val="000000"/>
        </w:rPr>
        <w:footnoteReference w:id="394"/>
      </w:r>
      <w:r>
        <w:rPr>
          <w:color w:val="000000"/>
        </w:rPr>
        <w:t xml:space="preserve"> </w:t>
      </w:r>
      <w:r w:rsidR="009A1105">
        <w:rPr>
          <w:color w:val="000000"/>
        </w:rPr>
        <w:t xml:space="preserve">Educational and training opportunities for youth are additional benefits that organizations can consider. For example, in Nunavut, a high school geoscience program </w:t>
      </w:r>
      <w:r w:rsidR="00E927B2">
        <w:rPr>
          <w:color w:val="000000"/>
        </w:rPr>
        <w:t>provides students with an understanding of geology-related careers and the opportunities that exist for their future employment.</w:t>
      </w:r>
      <w:r w:rsidR="00E927B2">
        <w:rPr>
          <w:rStyle w:val="FootnoteReference"/>
          <w:color w:val="000000"/>
        </w:rPr>
        <w:footnoteReference w:id="395"/>
      </w:r>
      <w:r w:rsidR="00E927B2">
        <w:rPr>
          <w:color w:val="000000"/>
        </w:rPr>
        <w:t xml:space="preserve"> </w:t>
      </w:r>
    </w:p>
    <w:p w14:paraId="5FAD73D6" w14:textId="77777777" w:rsidR="00787763" w:rsidRPr="00925B59" w:rsidRDefault="00787763" w:rsidP="00B12B13">
      <w:pPr>
        <w:widowControl w:val="0"/>
        <w:autoSpaceDE w:val="0"/>
        <w:autoSpaceDN w:val="0"/>
        <w:adjustRightInd w:val="0"/>
      </w:pPr>
    </w:p>
    <w:p w14:paraId="4754A7F6" w14:textId="218FB738" w:rsidR="00B50427" w:rsidRPr="00925B59" w:rsidRDefault="00B50427" w:rsidP="00B12B13">
      <w:pPr>
        <w:widowControl w:val="0"/>
        <w:autoSpaceDE w:val="0"/>
        <w:autoSpaceDN w:val="0"/>
        <w:adjustRightInd w:val="0"/>
      </w:pPr>
      <w:r w:rsidRPr="00925B59">
        <w:t xml:space="preserve">Benefit sharing can be contrary to </w:t>
      </w:r>
      <w:r w:rsidR="00C95A84">
        <w:t>Indigenous</w:t>
      </w:r>
      <w:r w:rsidRPr="00925B59">
        <w:t xml:space="preserve"> self-determination if it is viewed as merely a charitable award to secure social license for the project. </w:t>
      </w:r>
      <w:r w:rsidR="005D3179" w:rsidRPr="00925B59">
        <w:t xml:space="preserve">When the transfer of money to </w:t>
      </w:r>
      <w:r w:rsidR="00C95A84">
        <w:t>Indigenous</w:t>
      </w:r>
      <w:r w:rsidR="005D3179" w:rsidRPr="00925B59">
        <w:t xml:space="preserve"> groups is akin to a bribe or a reward, the nature of “free” consent is undermined. Instead, the sharing of economic benefits should be implemented</w:t>
      </w:r>
      <w:r w:rsidRPr="00925B59">
        <w:t xml:space="preserve"> as a means of complying with </w:t>
      </w:r>
      <w:r w:rsidR="00C95A84">
        <w:t>Indigenous</w:t>
      </w:r>
      <w:r w:rsidRPr="00925B59">
        <w:t xml:space="preserve"> rights.</w:t>
      </w:r>
      <w:r w:rsidRPr="00925B59">
        <w:rPr>
          <w:rStyle w:val="FootnoteReference"/>
        </w:rPr>
        <w:footnoteReference w:id="396"/>
      </w:r>
      <w:r w:rsidR="009A1105">
        <w:t xml:space="preserve"> </w:t>
      </w:r>
    </w:p>
    <w:p w14:paraId="0667109B" w14:textId="77777777" w:rsidR="00CD48AA" w:rsidRPr="00925B59" w:rsidRDefault="00CD48AA" w:rsidP="00B12B13">
      <w:pPr>
        <w:widowControl w:val="0"/>
        <w:autoSpaceDE w:val="0"/>
        <w:autoSpaceDN w:val="0"/>
        <w:adjustRightInd w:val="0"/>
      </w:pPr>
    </w:p>
    <w:p w14:paraId="3AF4BAB7" w14:textId="71BE3DA3" w:rsidR="00CD48AA" w:rsidRPr="00CF5F6C" w:rsidRDefault="00720C05" w:rsidP="00CF5F6C">
      <w:pPr>
        <w:rPr>
          <w:rFonts w:eastAsia="Times New Roman"/>
          <w:color w:val="000000"/>
          <w:lang w:val="en-US"/>
        </w:rPr>
      </w:pPr>
      <w:r>
        <w:t xml:space="preserve">In addition to financial payments and economic and employment opportunities, engagement can include other non-monetary benefits, as well. As AMAP recommends, </w:t>
      </w:r>
      <w:r w:rsidRPr="00925B59">
        <w:t>“</w:t>
      </w:r>
      <w:r>
        <w:rPr>
          <w:rFonts w:eastAsia="Times New Roman"/>
          <w:color w:val="000000"/>
          <w:lang w:val="en-US"/>
        </w:rPr>
        <w:t>c</w:t>
      </w:r>
      <w:r w:rsidRPr="00925B59">
        <w:rPr>
          <w:rFonts w:eastAsia="Times New Roman"/>
          <w:color w:val="000000"/>
          <w:lang w:val="en-US"/>
        </w:rPr>
        <w:t>onsideration should be given to securing lasting benefits from oil and gas activities for Arctic residents, for example through the establishment of infrastructure and health-care facilities, so that northern economies and people benefit over the longer-term and so that infrastructure and services are maintained in the period after the activity has declined or ceased.”</w:t>
      </w:r>
      <w:r w:rsidRPr="00925B59">
        <w:rPr>
          <w:rStyle w:val="FootnoteReference"/>
          <w:rFonts w:eastAsia="Times New Roman"/>
          <w:color w:val="000000"/>
          <w:lang w:val="en-US"/>
        </w:rPr>
        <w:footnoteReference w:id="397"/>
      </w:r>
    </w:p>
    <w:p w14:paraId="794191D8" w14:textId="77777777" w:rsidR="001E5401" w:rsidRPr="00925B59" w:rsidRDefault="001E5401" w:rsidP="00B12B13">
      <w:pPr>
        <w:widowControl w:val="0"/>
        <w:autoSpaceDE w:val="0"/>
        <w:autoSpaceDN w:val="0"/>
        <w:adjustRightInd w:val="0"/>
      </w:pPr>
    </w:p>
    <w:p w14:paraId="15BC5FA9" w14:textId="206BF2E3" w:rsidR="00B50427" w:rsidRPr="00D13CA5" w:rsidRDefault="001B1D9A" w:rsidP="00D13CA5">
      <w:pPr>
        <w:pStyle w:val="Heading2"/>
        <w:numPr>
          <w:ilvl w:val="0"/>
          <w:numId w:val="20"/>
        </w:numPr>
        <w:rPr>
          <w:rFonts w:ascii="Times New Roman" w:hAnsi="Times New Roman" w:cs="Times New Roman"/>
          <w:b/>
          <w:color w:val="auto"/>
          <w:sz w:val="24"/>
          <w:szCs w:val="24"/>
          <w:u w:val="single"/>
        </w:rPr>
      </w:pPr>
      <w:bookmarkStart w:id="99" w:name="_Toc334125717"/>
      <w:r w:rsidRPr="00D13CA5">
        <w:rPr>
          <w:rFonts w:ascii="Times New Roman" w:hAnsi="Times New Roman" w:cs="Times New Roman"/>
          <w:color w:val="auto"/>
          <w:sz w:val="24"/>
          <w:szCs w:val="24"/>
          <w:u w:val="single"/>
        </w:rPr>
        <w:t>Shared</w:t>
      </w:r>
      <w:r w:rsidRPr="00D13CA5">
        <w:rPr>
          <w:rFonts w:ascii="Times New Roman" w:hAnsi="Times New Roman" w:cs="Times New Roman"/>
          <w:b/>
          <w:color w:val="auto"/>
          <w:sz w:val="24"/>
          <w:szCs w:val="24"/>
          <w:u w:val="single"/>
        </w:rPr>
        <w:t xml:space="preserve"> </w:t>
      </w:r>
      <w:r w:rsidR="001623DD" w:rsidRPr="00D13CA5">
        <w:rPr>
          <w:rFonts w:ascii="Times New Roman" w:hAnsi="Times New Roman" w:cs="Times New Roman"/>
          <w:color w:val="auto"/>
          <w:sz w:val="24"/>
          <w:szCs w:val="24"/>
          <w:u w:val="single"/>
        </w:rPr>
        <w:t>decision-making</w:t>
      </w:r>
      <w:bookmarkEnd w:id="99"/>
    </w:p>
    <w:p w14:paraId="76AEA152" w14:textId="77777777" w:rsidR="00B50427" w:rsidRPr="00925B59" w:rsidRDefault="00B50427" w:rsidP="00B12B13">
      <w:pPr>
        <w:pStyle w:val="ListParagraph"/>
        <w:ind w:left="1080"/>
      </w:pPr>
    </w:p>
    <w:p w14:paraId="2D6E1A4F" w14:textId="03FC840B" w:rsidR="003519EA" w:rsidRDefault="00B50427" w:rsidP="003519EA">
      <w:pPr>
        <w:widowControl w:val="0"/>
        <w:autoSpaceDE w:val="0"/>
        <w:autoSpaceDN w:val="0"/>
        <w:adjustRightInd w:val="0"/>
        <w:rPr>
          <w:lang w:val="en-US"/>
        </w:rPr>
      </w:pPr>
      <w:r w:rsidRPr="00925B59">
        <w:t xml:space="preserve">Shared decision-making or management authority can help to ensure meaningful engagement. Full and equal participation by </w:t>
      </w:r>
      <w:r w:rsidR="00C95A84">
        <w:t>Indigenous</w:t>
      </w:r>
      <w:r w:rsidR="00FC63E1">
        <w:t xml:space="preserve"> Peoples</w:t>
      </w:r>
      <w:r w:rsidRPr="00925B59">
        <w:t xml:space="preserve"> in decision-making can also </w:t>
      </w:r>
      <w:r w:rsidR="001E5401" w:rsidRPr="00925B59">
        <w:t xml:space="preserve">make management more </w:t>
      </w:r>
      <w:r w:rsidR="003519EA" w:rsidRPr="00925B59">
        <w:t xml:space="preserve">effective by </w:t>
      </w:r>
      <w:r w:rsidR="003519EA" w:rsidRPr="00925B59">
        <w:rPr>
          <w:lang w:val="en-US"/>
        </w:rPr>
        <w:t>reducing conflic</w:t>
      </w:r>
      <w:r w:rsidR="00DF0032">
        <w:rPr>
          <w:lang w:val="en-US"/>
        </w:rPr>
        <w:t>t, increasing the use of Indigenous K</w:t>
      </w:r>
      <w:r w:rsidR="003519EA" w:rsidRPr="00925B59">
        <w:rPr>
          <w:lang w:val="en-US"/>
        </w:rPr>
        <w:t xml:space="preserve">nowledge, </w:t>
      </w:r>
      <w:r w:rsidR="00DF0032">
        <w:rPr>
          <w:lang w:val="en-US"/>
        </w:rPr>
        <w:t>supporting</w:t>
      </w:r>
      <w:r w:rsidR="003519EA" w:rsidRPr="00925B59">
        <w:rPr>
          <w:lang w:val="en-US"/>
        </w:rPr>
        <w:t xml:space="preserve"> sustainable use, and providing benefits to the community.</w:t>
      </w:r>
      <w:bookmarkStart w:id="100" w:name="_Ref334009836"/>
      <w:r w:rsidR="003519EA" w:rsidRPr="00925B59">
        <w:rPr>
          <w:rStyle w:val="FootnoteReference"/>
          <w:lang w:val="en-US"/>
        </w:rPr>
        <w:footnoteReference w:id="398"/>
      </w:r>
      <w:bookmarkEnd w:id="100"/>
      <w:r w:rsidR="00CA462D">
        <w:rPr>
          <w:lang w:val="en-US"/>
        </w:rPr>
        <w:t xml:space="preserve"> Shared decision-making institutions also facilitate </w:t>
      </w:r>
      <w:r w:rsidR="00B07F91">
        <w:rPr>
          <w:lang w:val="en-US"/>
        </w:rPr>
        <w:t>adaptive learning and management, which is particularly important in the Arctic.</w:t>
      </w:r>
      <w:r w:rsidR="00B07F91">
        <w:rPr>
          <w:rStyle w:val="FootnoteReference"/>
          <w:lang w:val="en-US"/>
        </w:rPr>
        <w:footnoteReference w:id="399"/>
      </w:r>
    </w:p>
    <w:p w14:paraId="17E5636E" w14:textId="77777777" w:rsidR="004111CE" w:rsidRDefault="004111CE" w:rsidP="003519EA">
      <w:pPr>
        <w:widowControl w:val="0"/>
        <w:autoSpaceDE w:val="0"/>
        <w:autoSpaceDN w:val="0"/>
        <w:adjustRightInd w:val="0"/>
        <w:rPr>
          <w:lang w:val="en-US"/>
        </w:rPr>
      </w:pPr>
    </w:p>
    <w:p w14:paraId="1C78A681" w14:textId="1DD00809" w:rsidR="001849A2" w:rsidRDefault="004111CE" w:rsidP="00B12B13">
      <w:pPr>
        <w:widowControl w:val="0"/>
        <w:autoSpaceDE w:val="0"/>
        <w:autoSpaceDN w:val="0"/>
        <w:adjustRightInd w:val="0"/>
        <w:rPr>
          <w:bCs/>
          <w:lang w:val="en-US"/>
        </w:rPr>
      </w:pPr>
      <w:r>
        <w:rPr>
          <w:lang w:val="en-US"/>
        </w:rPr>
        <w:t xml:space="preserve">The Arctic Council does </w:t>
      </w:r>
      <w:r w:rsidR="009B5580">
        <w:rPr>
          <w:lang w:val="en-US"/>
        </w:rPr>
        <w:t xml:space="preserve">not </w:t>
      </w:r>
      <w:r>
        <w:rPr>
          <w:lang w:val="en-US"/>
        </w:rPr>
        <w:t>exercise decision-making or management authority. However, the Arctic Council and Permanent Participants cooperate as equal partners in various projec</w:t>
      </w:r>
      <w:r w:rsidR="00D47531">
        <w:rPr>
          <w:lang w:val="en-US"/>
        </w:rPr>
        <w:t>ts</w:t>
      </w:r>
      <w:r w:rsidR="00C86CB4">
        <w:rPr>
          <w:lang w:val="en-US"/>
        </w:rPr>
        <w:t xml:space="preserve">. Arctic Council guidelines emphasized the importance of partnership and participation of Indigenous Peoples, but do </w:t>
      </w:r>
      <w:r w:rsidR="00872A69">
        <w:rPr>
          <w:lang w:val="en-US"/>
        </w:rPr>
        <w:t>not focus explicitly on the importance</w:t>
      </w:r>
      <w:r w:rsidR="00C86CB4">
        <w:rPr>
          <w:lang w:val="en-US"/>
        </w:rPr>
        <w:t xml:space="preserve"> of shared decision-making</w:t>
      </w:r>
      <w:r w:rsidR="00EF132C">
        <w:rPr>
          <w:lang w:val="en-US"/>
        </w:rPr>
        <w:t xml:space="preserve"> and management.</w:t>
      </w:r>
    </w:p>
    <w:p w14:paraId="50D10D2C" w14:textId="77777777" w:rsidR="00826000" w:rsidRPr="00826000" w:rsidRDefault="00826000" w:rsidP="00B12B13">
      <w:pPr>
        <w:widowControl w:val="0"/>
        <w:autoSpaceDE w:val="0"/>
        <w:autoSpaceDN w:val="0"/>
        <w:adjustRightInd w:val="0"/>
        <w:rPr>
          <w:bCs/>
          <w:lang w:val="en-US"/>
        </w:rPr>
      </w:pPr>
    </w:p>
    <w:p w14:paraId="18C075A0" w14:textId="2A927D53" w:rsidR="009B33DB" w:rsidRPr="009B33DB" w:rsidRDefault="00B50427" w:rsidP="009B33DB">
      <w:pPr>
        <w:widowControl w:val="0"/>
        <w:autoSpaceDE w:val="0"/>
        <w:autoSpaceDN w:val="0"/>
        <w:adjustRightInd w:val="0"/>
        <w:spacing w:after="240"/>
        <w:rPr>
          <w:lang w:val="en-US"/>
        </w:rPr>
      </w:pPr>
      <w:r w:rsidRPr="00925B59">
        <w:t xml:space="preserve">Various national and international laws </w:t>
      </w:r>
      <w:r w:rsidRPr="009B33DB">
        <w:t xml:space="preserve">recognize a right to </w:t>
      </w:r>
      <w:r w:rsidR="00C95A84" w:rsidRPr="009B33DB">
        <w:t>Indigenous</w:t>
      </w:r>
      <w:r w:rsidRPr="009B33DB">
        <w:t xml:space="preserve"> engagement through participation in decision-making. </w:t>
      </w:r>
      <w:r w:rsidR="009364AD" w:rsidRPr="009B33DB">
        <w:t xml:space="preserve">For example, </w:t>
      </w:r>
      <w:r w:rsidRPr="009B33DB">
        <w:t xml:space="preserve">UNDRIP recognizes </w:t>
      </w:r>
      <w:r w:rsidR="00C95A84" w:rsidRPr="009B33DB">
        <w:t>Indigenous</w:t>
      </w:r>
      <w:r w:rsidR="00FC63E1" w:rsidRPr="009B33DB">
        <w:t xml:space="preserve"> Peoples</w:t>
      </w:r>
      <w:r w:rsidRPr="009B33DB">
        <w:t>’ rights to “participate in the use, management, and conservation” of natural resources “pertaining to their lands.”</w:t>
      </w:r>
      <w:r w:rsidRPr="009B33DB">
        <w:rPr>
          <w:rStyle w:val="FootnoteReference"/>
        </w:rPr>
        <w:footnoteReference w:id="400"/>
      </w:r>
      <w:r w:rsidRPr="009B33DB">
        <w:t xml:space="preserve"> </w:t>
      </w:r>
      <w:r w:rsidR="009B33DB" w:rsidRPr="009B33DB">
        <w:t xml:space="preserve">The Rio Declaration highlights the “vital role” that </w:t>
      </w:r>
      <w:r w:rsidR="009B33DB" w:rsidRPr="009B33DB">
        <w:rPr>
          <w:lang w:val="en-US"/>
        </w:rPr>
        <w:t>Indigenous Peoples have in environmental management and development and the importance of their “effective participation in the achievement of sustainable development.”</w:t>
      </w:r>
      <w:r w:rsidR="009B33DB">
        <w:rPr>
          <w:rStyle w:val="FootnoteReference"/>
          <w:lang w:val="en-US"/>
        </w:rPr>
        <w:footnoteReference w:id="401"/>
      </w:r>
    </w:p>
    <w:p w14:paraId="04098B84" w14:textId="14F6AFA1" w:rsidR="00103821" w:rsidRPr="00925B59" w:rsidRDefault="00650442" w:rsidP="00D9145F">
      <w:pPr>
        <w:widowControl w:val="0"/>
        <w:autoSpaceDE w:val="0"/>
        <w:autoSpaceDN w:val="0"/>
        <w:adjustRightInd w:val="0"/>
      </w:pPr>
      <w:r w:rsidRPr="009B33DB">
        <w:t xml:space="preserve">National laws and agreements with </w:t>
      </w:r>
      <w:r w:rsidR="00C95A84" w:rsidRPr="009B33DB">
        <w:t>Indigenous</w:t>
      </w:r>
      <w:r w:rsidR="00FC63E1" w:rsidRPr="009B33DB">
        <w:t xml:space="preserve"> Peoples</w:t>
      </w:r>
      <w:r w:rsidRPr="009B33DB">
        <w:t xml:space="preserve"> also provide</w:t>
      </w:r>
      <w:r w:rsidRPr="00925B59">
        <w:t xml:space="preserve"> for shared decision-making. For example, the Nunavut Land Claims Agreement in Canada specifies that Inuit will participate in decision-making concerning the use, management and conservation of land, water and resources, including the offshore and in decision-making concerning wildlife harvesting.</w:t>
      </w:r>
      <w:r w:rsidRPr="00925B59">
        <w:rPr>
          <w:rStyle w:val="FootnoteReference"/>
        </w:rPr>
        <w:footnoteReference w:id="402"/>
      </w:r>
      <w:r w:rsidR="006318A8" w:rsidRPr="00925B59">
        <w:t xml:space="preserve"> </w:t>
      </w:r>
    </w:p>
    <w:p w14:paraId="360F4B33" w14:textId="77777777" w:rsidR="00103821" w:rsidRPr="00925B59" w:rsidRDefault="00103821" w:rsidP="00D9145F">
      <w:pPr>
        <w:widowControl w:val="0"/>
        <w:autoSpaceDE w:val="0"/>
        <w:autoSpaceDN w:val="0"/>
        <w:adjustRightInd w:val="0"/>
      </w:pPr>
    </w:p>
    <w:p w14:paraId="226A144B" w14:textId="0DDA24C4" w:rsidR="00B50427" w:rsidRPr="00925B59" w:rsidRDefault="006318A8" w:rsidP="00D9145F">
      <w:pPr>
        <w:widowControl w:val="0"/>
        <w:autoSpaceDE w:val="0"/>
        <w:autoSpaceDN w:val="0"/>
        <w:adjustRightInd w:val="0"/>
        <w:rPr>
          <w:lang w:val="en-US"/>
        </w:rPr>
      </w:pPr>
      <w:r w:rsidRPr="00925B59">
        <w:t xml:space="preserve">MOUs between </w:t>
      </w:r>
      <w:r w:rsidR="00C95A84">
        <w:t>Indigenous</w:t>
      </w:r>
      <w:r w:rsidR="00FC63E1">
        <w:t xml:space="preserve"> Peoples</w:t>
      </w:r>
      <w:r w:rsidRPr="00925B59">
        <w:t xml:space="preserve"> and national governments can also support shared decision-making. For example, an MOU between the U</w:t>
      </w:r>
      <w:r w:rsidR="00686315" w:rsidRPr="00925B59">
        <w:t>.</w:t>
      </w:r>
      <w:r w:rsidRPr="00925B59">
        <w:t>S</w:t>
      </w:r>
      <w:r w:rsidR="00686315" w:rsidRPr="00925B59">
        <w:t>.</w:t>
      </w:r>
      <w:r w:rsidRPr="00925B59">
        <w:t xml:space="preserve"> government and </w:t>
      </w:r>
      <w:r w:rsidR="00C95A84">
        <w:t>Indigenous</w:t>
      </w:r>
      <w:r w:rsidR="00FC63E1">
        <w:t xml:space="preserve"> Peoples</w:t>
      </w:r>
      <w:r w:rsidRPr="00925B59">
        <w:t xml:space="preserve"> who use marine mammals for subsistence states that the </w:t>
      </w:r>
      <w:r w:rsidR="00C95A84">
        <w:t>Indigenous</w:t>
      </w:r>
      <w:r w:rsidR="00FC63E1">
        <w:t xml:space="preserve"> Peoples</w:t>
      </w:r>
      <w:r w:rsidRPr="00925B59">
        <w:t xml:space="preserve"> </w:t>
      </w:r>
      <w:r w:rsidR="00427FE9" w:rsidRPr="00925B59">
        <w:rPr>
          <w:lang w:val="en-US"/>
        </w:rPr>
        <w:t xml:space="preserve">should have </w:t>
      </w:r>
      <w:r w:rsidR="00947D6F" w:rsidRPr="00925B59">
        <w:rPr>
          <w:lang w:val="en-US"/>
        </w:rPr>
        <w:t>“full and equal participation”</w:t>
      </w:r>
      <w:r w:rsidRPr="00925B59">
        <w:rPr>
          <w:lang w:val="en-US"/>
        </w:rPr>
        <w:t xml:space="preserve"> in </w:t>
      </w:r>
      <w:r w:rsidR="00947D6F" w:rsidRPr="00925B59">
        <w:rPr>
          <w:lang w:val="en-US"/>
        </w:rPr>
        <w:t>decision-making related to “</w:t>
      </w:r>
      <w:r w:rsidRPr="00925B59">
        <w:rPr>
          <w:lang w:val="en-US"/>
        </w:rPr>
        <w:t xml:space="preserve">the subsistence management </w:t>
      </w:r>
      <w:r w:rsidR="00B16DFA" w:rsidRPr="00925B59">
        <w:rPr>
          <w:lang w:val="en-US"/>
        </w:rPr>
        <w:t>of marine mammals.</w:t>
      </w:r>
      <w:r w:rsidR="00947D6F" w:rsidRPr="00925B59">
        <w:rPr>
          <w:position w:val="-3"/>
          <w:lang w:val="en-US"/>
        </w:rPr>
        <w:t>”</w:t>
      </w:r>
      <w:r w:rsidRPr="00925B59">
        <w:rPr>
          <w:rStyle w:val="FootnoteReference"/>
          <w:position w:val="-3"/>
          <w:lang w:val="en-US"/>
        </w:rPr>
        <w:footnoteReference w:id="403"/>
      </w:r>
      <w:r w:rsidR="0036417A" w:rsidRPr="00925B59">
        <w:rPr>
          <w:position w:val="-3"/>
          <w:lang w:val="en-US"/>
        </w:rPr>
        <w:t xml:space="preserve"> The Arctic Council Offshore Oil and</w:t>
      </w:r>
      <w:r w:rsidR="00D97847">
        <w:rPr>
          <w:position w:val="-3"/>
          <w:lang w:val="en-US"/>
        </w:rPr>
        <w:t xml:space="preserve"> Gas Guidelines recommend that s</w:t>
      </w:r>
      <w:r w:rsidR="0036417A" w:rsidRPr="00925B59">
        <w:rPr>
          <w:position w:val="-3"/>
          <w:lang w:val="en-US"/>
        </w:rPr>
        <w:t>tates “</w:t>
      </w:r>
      <w:r w:rsidR="0036417A" w:rsidRPr="00925B59">
        <w:rPr>
          <w:lang w:val="en-US"/>
        </w:rPr>
        <w:t xml:space="preserve">pursue regulatory and political structures that allow for participation of </w:t>
      </w:r>
      <w:r w:rsidR="00C95A84">
        <w:rPr>
          <w:lang w:val="en-US"/>
        </w:rPr>
        <w:t>Indigenous</w:t>
      </w:r>
      <w:r w:rsidR="0036417A" w:rsidRPr="00925B59">
        <w:rPr>
          <w:lang w:val="en-US"/>
        </w:rPr>
        <w:t xml:space="preserve"> people and other local residents in the decision making process.”</w:t>
      </w:r>
      <w:r w:rsidR="0036417A" w:rsidRPr="00925B59">
        <w:rPr>
          <w:rStyle w:val="FootnoteReference"/>
          <w:lang w:val="en-US"/>
        </w:rPr>
        <w:footnoteReference w:id="404"/>
      </w:r>
      <w:r w:rsidR="009072AD" w:rsidRPr="00925B59">
        <w:rPr>
          <w:lang w:val="en-US"/>
        </w:rPr>
        <w:t xml:space="preserve"> Shared decision-making can also occur in the context of scientific research. For example, an agreement between Shell Oil and the North </w:t>
      </w:r>
      <w:r w:rsidR="009072AD" w:rsidRPr="00925B59">
        <w:rPr>
          <w:lang w:val="en-US"/>
        </w:rPr>
        <w:lastRenderedPageBreak/>
        <w:t xml:space="preserve">Slope Borough established a steering committee </w:t>
      </w:r>
      <w:r w:rsidR="00475F68" w:rsidRPr="00925B59">
        <w:rPr>
          <w:lang w:val="en-US"/>
        </w:rPr>
        <w:t>to review research proposals.</w:t>
      </w:r>
      <w:r w:rsidR="00475F68" w:rsidRPr="00925B59">
        <w:rPr>
          <w:rStyle w:val="FootnoteReference"/>
          <w:lang w:val="en-US"/>
        </w:rPr>
        <w:footnoteReference w:id="405"/>
      </w:r>
    </w:p>
    <w:p w14:paraId="5A99534B" w14:textId="77777777" w:rsidR="00B50427" w:rsidRPr="00925B59" w:rsidRDefault="00B50427" w:rsidP="00B12B13"/>
    <w:p w14:paraId="0D572950" w14:textId="06A8A3EA" w:rsidR="00826000" w:rsidRPr="00925B59" w:rsidRDefault="00B50427" w:rsidP="00826000">
      <w:pPr>
        <w:widowControl w:val="0"/>
        <w:autoSpaceDE w:val="0"/>
        <w:autoSpaceDN w:val="0"/>
        <w:adjustRightInd w:val="0"/>
        <w:rPr>
          <w:lang w:val="en-US"/>
        </w:rPr>
      </w:pPr>
      <w:r w:rsidRPr="00925B59">
        <w:t>Shared decision-making is often implemented through co-management. Co-management involves the sharing of power and responsibility between government and local resource users.</w:t>
      </w:r>
      <w:r w:rsidRPr="00925B59">
        <w:rPr>
          <w:rStyle w:val="FootnoteReference"/>
        </w:rPr>
        <w:footnoteReference w:id="406"/>
      </w:r>
      <w:r w:rsidRPr="00925B59">
        <w:t xml:space="preserve">  Co-management </w:t>
      </w:r>
      <w:r w:rsidR="00093BC4" w:rsidRPr="00925B59">
        <w:t xml:space="preserve">includes a variety of </w:t>
      </w:r>
      <w:r w:rsidRPr="00925B59">
        <w:t xml:space="preserve">arrangements in which there is a </w:t>
      </w:r>
      <w:r w:rsidR="00245C0E" w:rsidRPr="00925B59">
        <w:t xml:space="preserve">range </w:t>
      </w:r>
      <w:r w:rsidRPr="00925B59">
        <w:t xml:space="preserve">of shared responsibility and authority between government and </w:t>
      </w:r>
      <w:r w:rsidR="00C95A84">
        <w:t>Indigenous</w:t>
      </w:r>
      <w:r w:rsidR="00FC63E1">
        <w:t xml:space="preserve"> Peoples</w:t>
      </w:r>
      <w:r w:rsidRPr="00925B59">
        <w:t>.</w:t>
      </w:r>
      <w:r w:rsidR="00093BC4" w:rsidRPr="00925B59">
        <w:t xml:space="preserve"> </w:t>
      </w:r>
      <w:r w:rsidR="001B1AA0" w:rsidRPr="00925B59">
        <w:t xml:space="preserve">Co-management bodies that are established pursuant to a legal process that is rooted in the acknowledgement of </w:t>
      </w:r>
      <w:r w:rsidR="00C95A84">
        <w:t>Indigenous</w:t>
      </w:r>
      <w:r w:rsidR="00FC63E1">
        <w:t xml:space="preserve"> Peoples</w:t>
      </w:r>
      <w:r w:rsidR="001B1AA0" w:rsidRPr="00925B59">
        <w:t xml:space="preserve">’ sovereignty may be more likely to achieve meaningful power-sharing in management. For example, co-management institutions that develop out of Canadian comprehensive land claims agreements </w:t>
      </w:r>
      <w:r w:rsidR="0014181E" w:rsidRPr="00925B59">
        <w:t>have particularly strong potential to support meaningful engagement</w:t>
      </w:r>
      <w:r w:rsidR="001B1AA0" w:rsidRPr="00925B59">
        <w:t xml:space="preserve"> because of the treaty and constitutionally based underlying support.</w:t>
      </w:r>
      <w:bookmarkStart w:id="101" w:name="_Ref334009943"/>
      <w:r w:rsidR="001B1AA0" w:rsidRPr="00925B59">
        <w:rPr>
          <w:rStyle w:val="FootnoteReference"/>
        </w:rPr>
        <w:footnoteReference w:id="407"/>
      </w:r>
      <w:bookmarkEnd w:id="101"/>
      <w:r w:rsidR="001B1AA0" w:rsidRPr="00925B59">
        <w:t xml:space="preserve"> Similarly, t</w:t>
      </w:r>
      <w:r w:rsidR="00093BC4" w:rsidRPr="00925B59">
        <w:t xml:space="preserve">he creation of co-management bodies through legislation can help to support the power and credibility of the </w:t>
      </w:r>
      <w:r w:rsidR="0014181E" w:rsidRPr="00925B59">
        <w:t xml:space="preserve">co-management </w:t>
      </w:r>
      <w:r w:rsidR="00093BC4" w:rsidRPr="00925B59">
        <w:t>organization.</w:t>
      </w:r>
      <w:r w:rsidR="00093BC4" w:rsidRPr="00925B59">
        <w:rPr>
          <w:rStyle w:val="FootnoteReference"/>
        </w:rPr>
        <w:footnoteReference w:id="408"/>
      </w:r>
      <w:r w:rsidR="00650442" w:rsidRPr="00925B59">
        <w:t xml:space="preserve"> </w:t>
      </w:r>
      <w:r w:rsidR="004F5497" w:rsidRPr="00925B59">
        <w:t xml:space="preserve">In Alaska, for example, the Marine Mammal Protection Act allows federal agencies to enter into co-management agreements with </w:t>
      </w:r>
      <w:r w:rsidR="004F5497" w:rsidRPr="00925B59">
        <w:rPr>
          <w:lang w:val="en-US"/>
        </w:rPr>
        <w:t>Alaska Native organizations for marine mammal subsistence management.</w:t>
      </w:r>
      <w:r w:rsidR="004F5497" w:rsidRPr="00925B59">
        <w:rPr>
          <w:rStyle w:val="FootnoteReference"/>
          <w:lang w:val="en-US"/>
        </w:rPr>
        <w:footnoteReference w:id="409"/>
      </w:r>
      <w:r w:rsidR="004F5497" w:rsidRPr="00925B59">
        <w:rPr>
          <w:lang w:val="en-US"/>
        </w:rPr>
        <w:t xml:space="preserve"> The MMPA also provides a subsistence priority for </w:t>
      </w:r>
      <w:r w:rsidR="00C95A84">
        <w:rPr>
          <w:lang w:val="en-US"/>
        </w:rPr>
        <w:t>Indigenous</w:t>
      </w:r>
      <w:r w:rsidR="00FC63E1">
        <w:rPr>
          <w:lang w:val="en-US"/>
        </w:rPr>
        <w:t xml:space="preserve"> Peoples</w:t>
      </w:r>
      <w:r w:rsidR="004F5497" w:rsidRPr="00925B59">
        <w:rPr>
          <w:lang w:val="en-US"/>
        </w:rPr>
        <w:t>, which guides management practices.</w:t>
      </w:r>
      <w:r w:rsidR="004F5497" w:rsidRPr="00925B59">
        <w:rPr>
          <w:rStyle w:val="FootnoteReference"/>
          <w:lang w:val="en-US"/>
        </w:rPr>
        <w:footnoteReference w:id="410"/>
      </w:r>
      <w:r w:rsidR="00D97847">
        <w:rPr>
          <w:lang w:val="en-US"/>
        </w:rPr>
        <w:t xml:space="preserve"> For c</w:t>
      </w:r>
      <w:r w:rsidR="0014181E" w:rsidRPr="00925B59">
        <w:rPr>
          <w:lang w:val="en-US"/>
        </w:rPr>
        <w:t xml:space="preserve">o-management institutions </w:t>
      </w:r>
      <w:r w:rsidR="00D97847">
        <w:rPr>
          <w:lang w:val="en-US"/>
        </w:rPr>
        <w:t>to be effective, they generally require</w:t>
      </w:r>
      <w:r w:rsidR="0014181E" w:rsidRPr="00925B59">
        <w:rPr>
          <w:lang w:val="en-US"/>
        </w:rPr>
        <w:t xml:space="preserve"> </w:t>
      </w:r>
      <w:r w:rsidR="0027083B" w:rsidRPr="00925B59">
        <w:rPr>
          <w:lang w:val="en-US"/>
        </w:rPr>
        <w:t>a clear place in government decision-making structures.</w:t>
      </w:r>
      <w:r w:rsidR="0027083B" w:rsidRPr="00925B59">
        <w:rPr>
          <w:rStyle w:val="FootnoteReference"/>
          <w:lang w:val="en-US"/>
        </w:rPr>
        <w:footnoteReference w:id="411"/>
      </w:r>
      <w:r w:rsidR="00826000" w:rsidRPr="00826000">
        <w:rPr>
          <w:lang w:val="en-US"/>
        </w:rPr>
        <w:t xml:space="preserve"> </w:t>
      </w:r>
      <w:r w:rsidR="00826000" w:rsidRPr="00925B59">
        <w:rPr>
          <w:lang w:val="en-US"/>
        </w:rPr>
        <w:t xml:space="preserve">When </w:t>
      </w:r>
      <w:r w:rsidR="00826000">
        <w:rPr>
          <w:lang w:val="en-US"/>
        </w:rPr>
        <w:t>Indigenous Peoples</w:t>
      </w:r>
      <w:r w:rsidR="00826000" w:rsidRPr="00925B59">
        <w:rPr>
          <w:lang w:val="en-US"/>
        </w:rPr>
        <w:t xml:space="preserve"> co-operate at a regional level, they are more likely to be successful in negotiating the terms for shared decision-making.</w:t>
      </w:r>
      <w:r w:rsidR="00826000" w:rsidRPr="00925B59">
        <w:rPr>
          <w:rStyle w:val="FootnoteReference"/>
          <w:lang w:val="en-US"/>
        </w:rPr>
        <w:footnoteReference w:id="412"/>
      </w:r>
    </w:p>
    <w:p w14:paraId="6CFC7782" w14:textId="7F9B5C20" w:rsidR="004F5497" w:rsidRPr="00925B59" w:rsidRDefault="00520625" w:rsidP="004F5497">
      <w:pPr>
        <w:widowControl w:val="0"/>
        <w:autoSpaceDE w:val="0"/>
        <w:autoSpaceDN w:val="0"/>
        <w:adjustRightInd w:val="0"/>
        <w:rPr>
          <w:lang w:val="en-US"/>
        </w:rPr>
      </w:pPr>
      <w:r>
        <w:rPr>
          <w:lang w:val="en-US"/>
        </w:rPr>
        <w:t>Adequate funding for Indigenous Peoples to participate in co-management is also essential.</w:t>
      </w:r>
      <w:r>
        <w:rPr>
          <w:rStyle w:val="FootnoteReference"/>
          <w:lang w:val="en-US"/>
        </w:rPr>
        <w:footnoteReference w:id="413"/>
      </w:r>
    </w:p>
    <w:p w14:paraId="17960749" w14:textId="77777777" w:rsidR="00B50427" w:rsidRPr="00925B59" w:rsidRDefault="00B50427" w:rsidP="00B12B13"/>
    <w:p w14:paraId="7A142799" w14:textId="675398DF" w:rsidR="001E5401" w:rsidRPr="00925B59" w:rsidRDefault="003519EA" w:rsidP="00B12B13">
      <w:pPr>
        <w:widowControl w:val="0"/>
        <w:autoSpaceDE w:val="0"/>
        <w:autoSpaceDN w:val="0"/>
        <w:adjustRightInd w:val="0"/>
      </w:pPr>
      <w:r w:rsidRPr="00925B59">
        <w:t>One of the ways c</w:t>
      </w:r>
      <w:r w:rsidR="00B50427" w:rsidRPr="00925B59">
        <w:t xml:space="preserve">o-management can </w:t>
      </w:r>
      <w:r w:rsidRPr="00925B59">
        <w:t>be implemented is through</w:t>
      </w:r>
      <w:r w:rsidR="00B50427" w:rsidRPr="00925B59">
        <w:t xml:space="preserve"> the creation of bodies t</w:t>
      </w:r>
      <w:r w:rsidRPr="00925B59">
        <w:t xml:space="preserve">hat have </w:t>
      </w:r>
      <w:r w:rsidR="0014181E" w:rsidRPr="00925B59">
        <w:t xml:space="preserve">both </w:t>
      </w:r>
      <w:r w:rsidR="00C95A84">
        <w:t>Indigenous</w:t>
      </w:r>
      <w:r w:rsidR="0014181E" w:rsidRPr="00925B59">
        <w:t xml:space="preserve"> and government representatives</w:t>
      </w:r>
      <w:r w:rsidRPr="00925B59">
        <w:t>.</w:t>
      </w:r>
      <w:r w:rsidR="00B50427" w:rsidRPr="00925B59">
        <w:t xml:space="preserve"> For example, in northern Canada, </w:t>
      </w:r>
      <w:r w:rsidR="0014181E" w:rsidRPr="00925B59">
        <w:t>around</w:t>
      </w:r>
      <w:r w:rsidR="001E5401" w:rsidRPr="00925B59">
        <w:t xml:space="preserve"> 40 different </w:t>
      </w:r>
      <w:r w:rsidR="00B50427" w:rsidRPr="00925B59">
        <w:t>co-management boards</w:t>
      </w:r>
      <w:r w:rsidR="001E5401" w:rsidRPr="00925B59">
        <w:t xml:space="preserve"> have responsibilities </w:t>
      </w:r>
      <w:r w:rsidR="003B4F5F" w:rsidRPr="00925B59">
        <w:t>including wildlife, water and land management, environmental protection, impact assessment, and</w:t>
      </w:r>
      <w:r w:rsidR="001E5401" w:rsidRPr="00925B59">
        <w:t xml:space="preserve"> non-renewable natural resources.</w:t>
      </w:r>
      <w:r w:rsidR="001E5401" w:rsidRPr="00925B59">
        <w:rPr>
          <w:rStyle w:val="FootnoteReference"/>
        </w:rPr>
        <w:footnoteReference w:id="414"/>
      </w:r>
      <w:r w:rsidRPr="00925B59">
        <w:t xml:space="preserve"> These</w:t>
      </w:r>
      <w:r w:rsidR="001E5401" w:rsidRPr="00925B59">
        <w:t xml:space="preserve"> </w:t>
      </w:r>
      <w:r w:rsidRPr="00925B59">
        <w:t>boards have different roles, jurisdictions, and degrees of influence, but some are</w:t>
      </w:r>
      <w:r w:rsidR="001E5401" w:rsidRPr="00925B59">
        <w:t xml:space="preserve"> the primary mechanism for resource management in their jurisdiction.</w:t>
      </w:r>
      <w:r w:rsidR="00103821" w:rsidRPr="00925B59">
        <w:t xml:space="preserve"> </w:t>
      </w:r>
    </w:p>
    <w:p w14:paraId="78CEBD54" w14:textId="77777777" w:rsidR="00B50427" w:rsidRPr="00925B59" w:rsidRDefault="00B50427" w:rsidP="00B12B13">
      <w:pPr>
        <w:widowControl w:val="0"/>
        <w:autoSpaceDE w:val="0"/>
        <w:autoSpaceDN w:val="0"/>
        <w:adjustRightInd w:val="0"/>
      </w:pPr>
    </w:p>
    <w:p w14:paraId="3C43223B" w14:textId="7D558336" w:rsidR="00B50427" w:rsidRPr="00925B59" w:rsidRDefault="00B50427" w:rsidP="00937843">
      <w:pPr>
        <w:widowControl w:val="0"/>
        <w:autoSpaceDE w:val="0"/>
        <w:autoSpaceDN w:val="0"/>
        <w:adjustRightInd w:val="0"/>
        <w:spacing w:after="240"/>
      </w:pPr>
      <w:r w:rsidRPr="00925B59">
        <w:t xml:space="preserve">Typically, at least half of the positions in these shared representation bodies are </w:t>
      </w:r>
      <w:r w:rsidR="00C95A84">
        <w:t>Indigenous</w:t>
      </w:r>
      <w:r w:rsidRPr="00925B59">
        <w:t xml:space="preserve">. </w:t>
      </w:r>
      <w:r w:rsidR="004F5497" w:rsidRPr="00925B59">
        <w:t xml:space="preserve">For example, the Nunavik </w:t>
      </w:r>
      <w:r w:rsidR="004F5497" w:rsidRPr="00925B59">
        <w:rPr>
          <w:lang w:val="en-US"/>
        </w:rPr>
        <w:t xml:space="preserve">Hunting, Fishing and Trapping Coordinating Committee (HFTCC) </w:t>
      </w:r>
      <w:proofErr w:type="gramStart"/>
      <w:r w:rsidR="004F5497" w:rsidRPr="00925B59">
        <w:rPr>
          <w:lang w:val="en-US"/>
        </w:rPr>
        <w:t>consists</w:t>
      </w:r>
      <w:proofErr w:type="gramEnd"/>
      <w:r w:rsidR="004F5497" w:rsidRPr="00925B59">
        <w:rPr>
          <w:lang w:val="en-US"/>
        </w:rPr>
        <w:t xml:space="preserve"> of half federal and provincial government representatives and half </w:t>
      </w:r>
      <w:r w:rsidR="00C95A84">
        <w:rPr>
          <w:lang w:val="en-US"/>
        </w:rPr>
        <w:t>Indigenous</w:t>
      </w:r>
      <w:r w:rsidR="00FC63E1">
        <w:rPr>
          <w:lang w:val="en-US"/>
        </w:rPr>
        <w:t xml:space="preserve"> Peoples</w:t>
      </w:r>
      <w:r w:rsidR="004F5497" w:rsidRPr="00925B59">
        <w:rPr>
          <w:lang w:val="en-US"/>
        </w:rPr>
        <w:t xml:space="preserve">. </w:t>
      </w:r>
      <w:r w:rsidR="00650442" w:rsidRPr="00925B59">
        <w:t xml:space="preserve">To be representative, however, these bodies must also have community support and regular </w:t>
      </w:r>
      <w:r w:rsidR="00650442" w:rsidRPr="00925B59">
        <w:lastRenderedPageBreak/>
        <w:t>communication with community members.</w:t>
      </w:r>
      <w:r w:rsidR="00650442" w:rsidRPr="00925B59">
        <w:rPr>
          <w:rStyle w:val="FootnoteReference"/>
        </w:rPr>
        <w:footnoteReference w:id="415"/>
      </w:r>
      <w:r w:rsidR="00650442" w:rsidRPr="00925B59">
        <w:t xml:space="preserve"> </w:t>
      </w:r>
      <w:r w:rsidRPr="00925B59">
        <w:t>Some co-management boards strive also to include women, which is “necessary to the overall effectiveness of board decision making.”</w:t>
      </w:r>
      <w:r w:rsidRPr="00925B59">
        <w:rPr>
          <w:rStyle w:val="FootnoteReference"/>
        </w:rPr>
        <w:footnoteReference w:id="416"/>
      </w:r>
      <w:r w:rsidRPr="00925B59">
        <w:t xml:space="preserve"> A study of boards in Canada found that board members believed that women’s representation positively influenced decision-making processes and that women brought a unique set of perspectives, knowledge, and experiences to the table.</w:t>
      </w:r>
      <w:r w:rsidRPr="00925B59">
        <w:rPr>
          <w:rStyle w:val="FootnoteReference"/>
        </w:rPr>
        <w:footnoteReference w:id="417"/>
      </w:r>
      <w:r w:rsidRPr="00925B59">
        <w:t xml:space="preserve"> In addition, the presence of women within natural resource management groups improved collaboration, solidarity, and conflict resolution.</w:t>
      </w:r>
      <w:r w:rsidRPr="00925B59">
        <w:rPr>
          <w:rStyle w:val="FootnoteReference"/>
        </w:rPr>
        <w:footnoteReference w:id="418"/>
      </w:r>
      <w:r w:rsidRPr="00925B59">
        <w:t xml:space="preserve">  In particular, when women constitute at least one quarter to one third of board membership decision-making by the body is strengthened.</w:t>
      </w:r>
      <w:r w:rsidRPr="00925B59">
        <w:rPr>
          <w:rStyle w:val="FootnoteReference"/>
        </w:rPr>
        <w:footnoteReference w:id="419"/>
      </w:r>
    </w:p>
    <w:p w14:paraId="768516BC" w14:textId="57A4FC48" w:rsidR="00B50427" w:rsidRPr="00925B59" w:rsidRDefault="00B50427" w:rsidP="00B12B13">
      <w:pPr>
        <w:widowControl w:val="0"/>
        <w:autoSpaceDE w:val="0"/>
        <w:autoSpaceDN w:val="0"/>
        <w:adjustRightInd w:val="0"/>
      </w:pPr>
      <w:r w:rsidRPr="00925B59">
        <w:t>Policies and laws require diversity on boards and committees. For example, Yukon Government’s policy on boards and committees states that the Yukon Government is committed to and will make its best efforts to ensure that nominations and membership on boards and committees “is representative of Yukon society, including gender, age, First Nations people, youth, visible minorities and people with disabilities.”</w:t>
      </w:r>
      <w:r w:rsidRPr="00925B59">
        <w:rPr>
          <w:rStyle w:val="FootnoteReference"/>
        </w:rPr>
        <w:footnoteReference w:id="420"/>
      </w:r>
      <w:r w:rsidR="00103821" w:rsidRPr="00925B59">
        <w:t xml:space="preserve"> In addition to operationalizing engagement through representation in their membership, these boards can also form </w:t>
      </w:r>
      <w:r w:rsidR="00C95A84">
        <w:t>Indigenous</w:t>
      </w:r>
      <w:r w:rsidR="00103821" w:rsidRPr="00925B59">
        <w:t xml:space="preserve"> engagement policies.</w:t>
      </w:r>
      <w:r w:rsidR="00103821" w:rsidRPr="00925B59">
        <w:rPr>
          <w:rStyle w:val="FootnoteReference"/>
        </w:rPr>
        <w:footnoteReference w:id="421"/>
      </w:r>
    </w:p>
    <w:p w14:paraId="6AC61A50" w14:textId="77777777" w:rsidR="00B50427" w:rsidRPr="00925B59" w:rsidRDefault="00B50427" w:rsidP="00B12B13">
      <w:pPr>
        <w:widowControl w:val="0"/>
        <w:autoSpaceDE w:val="0"/>
        <w:autoSpaceDN w:val="0"/>
        <w:adjustRightInd w:val="0"/>
      </w:pPr>
    </w:p>
    <w:p w14:paraId="6B9CED80" w14:textId="476EA8C7" w:rsidR="00937843" w:rsidRPr="00925B59" w:rsidRDefault="00B50427" w:rsidP="00B12B13">
      <w:pPr>
        <w:widowControl w:val="0"/>
        <w:autoSpaceDE w:val="0"/>
        <w:autoSpaceDN w:val="0"/>
        <w:adjustRightInd w:val="0"/>
      </w:pPr>
      <w:r w:rsidRPr="00925B59">
        <w:t xml:space="preserve">Co-management is also implemented through the creation of entirely </w:t>
      </w:r>
      <w:proofErr w:type="gramStart"/>
      <w:r w:rsidR="00C95A84">
        <w:t>Indigenous</w:t>
      </w:r>
      <w:proofErr w:type="gramEnd"/>
      <w:r w:rsidRPr="00925B59">
        <w:t xml:space="preserve"> bodies or institutions. These bodies may share the decision-making process with a government decision-making entity. In Norway, the government identified land known as the </w:t>
      </w:r>
      <w:proofErr w:type="spellStart"/>
      <w:r w:rsidRPr="00925B59">
        <w:t>Finnmark</w:t>
      </w:r>
      <w:proofErr w:type="spellEnd"/>
      <w:r w:rsidRPr="00925B59">
        <w:t xml:space="preserve"> Estate and created a governance structure for that land that is shared by </w:t>
      </w:r>
      <w:r w:rsidR="00C95A84">
        <w:t>Indigenous</w:t>
      </w:r>
      <w:r w:rsidRPr="00925B59">
        <w:t xml:space="preserve"> and regional government bodies.</w:t>
      </w:r>
      <w:r w:rsidRPr="00925B59">
        <w:rPr>
          <w:rStyle w:val="FootnoteReference"/>
        </w:rPr>
        <w:footnoteReference w:id="422"/>
      </w:r>
      <w:r w:rsidR="004F5497" w:rsidRPr="00925B59">
        <w:t xml:space="preserve"> </w:t>
      </w:r>
    </w:p>
    <w:p w14:paraId="64E4E3DD" w14:textId="77777777" w:rsidR="00937843" w:rsidRPr="00925B59" w:rsidRDefault="00937843" w:rsidP="00B12B13">
      <w:pPr>
        <w:widowControl w:val="0"/>
        <w:autoSpaceDE w:val="0"/>
        <w:autoSpaceDN w:val="0"/>
        <w:adjustRightInd w:val="0"/>
      </w:pPr>
    </w:p>
    <w:p w14:paraId="4CEC5E2E" w14:textId="7137B4AC" w:rsidR="00B50427" w:rsidRPr="00925B59" w:rsidRDefault="00937843" w:rsidP="00B12B13">
      <w:pPr>
        <w:widowControl w:val="0"/>
        <w:autoSpaceDE w:val="0"/>
        <w:autoSpaceDN w:val="0"/>
        <w:adjustRightInd w:val="0"/>
      </w:pPr>
      <w:r w:rsidRPr="00925B59">
        <w:t xml:space="preserve">Co-management also occurs through the delegation of specific management authority to </w:t>
      </w:r>
      <w:r w:rsidR="00C95A84">
        <w:t>Indigenous</w:t>
      </w:r>
      <w:r w:rsidRPr="00925B59">
        <w:t xml:space="preserve"> institutions. For example, in Canada, protocol agreements for cooperation in fisheries enforcement provide jurisdiction to community </w:t>
      </w:r>
      <w:r w:rsidR="00BD2F66" w:rsidRPr="00925B59">
        <w:t>justice forums, rather than the Canadian government court system.</w:t>
      </w:r>
      <w:r w:rsidR="00BD2F66" w:rsidRPr="00925B59">
        <w:rPr>
          <w:rStyle w:val="FootnoteReference"/>
        </w:rPr>
        <w:footnoteReference w:id="423"/>
      </w:r>
    </w:p>
    <w:p w14:paraId="57BD0C4C" w14:textId="77777777" w:rsidR="00650442" w:rsidRPr="00925B59" w:rsidRDefault="00650442" w:rsidP="00B12B13">
      <w:pPr>
        <w:widowControl w:val="0"/>
        <w:autoSpaceDE w:val="0"/>
        <w:autoSpaceDN w:val="0"/>
        <w:adjustRightInd w:val="0"/>
      </w:pPr>
    </w:p>
    <w:p w14:paraId="22E5F2F0" w14:textId="09E577D4" w:rsidR="00B50427" w:rsidRPr="00925B59" w:rsidRDefault="00C65DC0" w:rsidP="00172532">
      <w:pPr>
        <w:widowControl w:val="0"/>
        <w:autoSpaceDE w:val="0"/>
        <w:autoSpaceDN w:val="0"/>
        <w:adjustRightInd w:val="0"/>
        <w:spacing w:after="240"/>
        <w:rPr>
          <w:lang w:val="en-US"/>
        </w:rPr>
      </w:pPr>
      <w:r w:rsidRPr="00925B59">
        <w:t xml:space="preserve">Governments provide capacity-building services that are aimed at strengthening </w:t>
      </w:r>
      <w:r w:rsidR="00C95A84">
        <w:t>Indigenous</w:t>
      </w:r>
      <w:r w:rsidR="00FC63E1">
        <w:t xml:space="preserve"> Peoples</w:t>
      </w:r>
      <w:r w:rsidRPr="00925B59">
        <w:t xml:space="preserve">’ ability to participate in co-management. For example, the Canadian </w:t>
      </w:r>
      <w:r w:rsidRPr="00925B59">
        <w:rPr>
          <w:lang w:val="en-US"/>
        </w:rPr>
        <w:t>Aboriginal Aquatic Resources and Oceans Management Program assists aboriginal organizations in developing administrative capacity and scientific expertise to participate in oceans management.</w:t>
      </w:r>
      <w:r w:rsidRPr="00925B59">
        <w:rPr>
          <w:rStyle w:val="FootnoteReference"/>
          <w:lang w:val="en-US"/>
        </w:rPr>
        <w:footnoteReference w:id="424"/>
      </w:r>
    </w:p>
    <w:p w14:paraId="37D4F88D" w14:textId="77777777" w:rsidR="00723FF3" w:rsidRPr="00925B59" w:rsidRDefault="00723FF3" w:rsidP="00723FF3">
      <w:pPr>
        <w:widowControl w:val="0"/>
        <w:autoSpaceDE w:val="0"/>
        <w:autoSpaceDN w:val="0"/>
        <w:adjustRightInd w:val="0"/>
        <w:rPr>
          <w:bCs/>
          <w:lang w:val="en-US"/>
        </w:rPr>
      </w:pPr>
      <w:r w:rsidRPr="00925B59">
        <w:rPr>
          <w:bCs/>
          <w:lang w:val="en-US"/>
        </w:rPr>
        <w:t xml:space="preserve">The principle of free, prior and informed consent can help foster the evolution of co-management </w:t>
      </w:r>
      <w:r w:rsidRPr="00925B59">
        <w:rPr>
          <w:bCs/>
          <w:lang w:val="en-US"/>
        </w:rPr>
        <w:lastRenderedPageBreak/>
        <w:t>and decision-making authority.</w:t>
      </w:r>
      <w:r w:rsidRPr="00925B59">
        <w:rPr>
          <w:rStyle w:val="FootnoteReference"/>
          <w:bCs/>
          <w:lang w:val="en-US"/>
        </w:rPr>
        <w:footnoteReference w:id="425"/>
      </w:r>
    </w:p>
    <w:p w14:paraId="1799C549" w14:textId="77777777" w:rsidR="00723FF3" w:rsidRPr="00FD6DA7" w:rsidRDefault="00723FF3" w:rsidP="00B12B13">
      <w:pPr>
        <w:widowControl w:val="0"/>
        <w:autoSpaceDE w:val="0"/>
        <w:autoSpaceDN w:val="0"/>
        <w:adjustRightInd w:val="0"/>
        <w:rPr>
          <w:u w:val="single"/>
        </w:rPr>
      </w:pPr>
    </w:p>
    <w:p w14:paraId="6AA5AE10" w14:textId="05B3B9B4" w:rsidR="00B50427" w:rsidRPr="00FD6DA7" w:rsidRDefault="00FD6DA7" w:rsidP="00FD6DA7">
      <w:pPr>
        <w:pStyle w:val="Heading2"/>
        <w:numPr>
          <w:ilvl w:val="0"/>
          <w:numId w:val="20"/>
        </w:numPr>
        <w:rPr>
          <w:rFonts w:ascii="Times New Roman" w:hAnsi="Times New Roman" w:cs="Times New Roman"/>
          <w:color w:val="auto"/>
          <w:sz w:val="24"/>
          <w:szCs w:val="24"/>
          <w:u w:val="single"/>
        </w:rPr>
      </w:pPr>
      <w:bookmarkStart w:id="102" w:name="_Toc334125718"/>
      <w:r w:rsidRPr="00FD6DA7">
        <w:rPr>
          <w:rFonts w:ascii="Times New Roman" w:hAnsi="Times New Roman" w:cs="Times New Roman"/>
          <w:color w:val="auto"/>
          <w:sz w:val="24"/>
          <w:szCs w:val="24"/>
          <w:u w:val="single"/>
        </w:rPr>
        <w:t>Honoring</w:t>
      </w:r>
      <w:r w:rsidR="001B1D9A" w:rsidRPr="00FD6DA7">
        <w:rPr>
          <w:rFonts w:ascii="Times New Roman" w:hAnsi="Times New Roman" w:cs="Times New Roman"/>
          <w:color w:val="auto"/>
          <w:sz w:val="24"/>
          <w:szCs w:val="24"/>
          <w:u w:val="single"/>
        </w:rPr>
        <w:t xml:space="preserve"> of the autonomy and human rights of Indigenous Peoples</w:t>
      </w:r>
      <w:bookmarkEnd w:id="102"/>
    </w:p>
    <w:p w14:paraId="71138396" w14:textId="77777777" w:rsidR="00B50427" w:rsidRPr="00925B59" w:rsidRDefault="00B50427" w:rsidP="00B12B13">
      <w:pPr>
        <w:widowControl w:val="0"/>
        <w:autoSpaceDE w:val="0"/>
        <w:autoSpaceDN w:val="0"/>
        <w:adjustRightInd w:val="0"/>
      </w:pPr>
    </w:p>
    <w:p w14:paraId="14AC014A" w14:textId="3F880D8D" w:rsidR="00B50427" w:rsidRDefault="00B50427" w:rsidP="00B12B13">
      <w:pPr>
        <w:widowControl w:val="0"/>
        <w:autoSpaceDE w:val="0"/>
        <w:autoSpaceDN w:val="0"/>
        <w:adjustRightInd w:val="0"/>
      </w:pPr>
      <w:r w:rsidRPr="00925B59">
        <w:t xml:space="preserve">Under international law, </w:t>
      </w:r>
      <w:r w:rsidR="00C95A84">
        <w:t>Indigenous</w:t>
      </w:r>
      <w:r w:rsidR="00FC63E1">
        <w:t xml:space="preserve"> Peoples</w:t>
      </w:r>
      <w:r w:rsidRPr="00925B59">
        <w:t xml:space="preserve"> have a right to traditional lands</w:t>
      </w:r>
      <w:r w:rsidR="000D0FA4">
        <w:t xml:space="preserve"> and waters</w:t>
      </w:r>
      <w:r w:rsidRPr="00925B59">
        <w:t xml:space="preserve"> and to the resources on those lands</w:t>
      </w:r>
      <w:r w:rsidR="000D0FA4">
        <w:t xml:space="preserve"> and waters</w:t>
      </w:r>
      <w:r w:rsidRPr="00925B59">
        <w:t>. For example, ILO</w:t>
      </w:r>
      <w:r w:rsidR="00E8538C">
        <w:t xml:space="preserve"> No.</w:t>
      </w:r>
      <w:r w:rsidRPr="00925B59">
        <w:t xml:space="preserve"> 169 recognizes </w:t>
      </w:r>
      <w:r w:rsidR="00C95A84">
        <w:t>Indigenous</w:t>
      </w:r>
      <w:r w:rsidR="00FC63E1">
        <w:t xml:space="preserve"> Peoples</w:t>
      </w:r>
      <w:r w:rsidRPr="00925B59">
        <w:t>’ rights to lands “which they traditionally occupy”</w:t>
      </w:r>
      <w:r w:rsidRPr="00925B59">
        <w:rPr>
          <w:position w:val="13"/>
        </w:rPr>
        <w:t xml:space="preserve"> </w:t>
      </w:r>
      <w:r w:rsidRPr="00925B59">
        <w:t xml:space="preserve">and requires states to identify these lands and guarantee protection of </w:t>
      </w:r>
      <w:r w:rsidR="00C95A84">
        <w:t>Indigenous</w:t>
      </w:r>
      <w:r w:rsidR="00FC63E1">
        <w:t xml:space="preserve"> Peoples</w:t>
      </w:r>
      <w:r w:rsidRPr="00925B59">
        <w:t>’ rights of ownership and possession.</w:t>
      </w:r>
      <w:r w:rsidRPr="00925B59">
        <w:rPr>
          <w:rStyle w:val="FootnoteReference"/>
        </w:rPr>
        <w:footnoteReference w:id="426"/>
      </w:r>
      <w:r w:rsidRPr="00925B59">
        <w:t xml:space="preserve"> Similarly, UNDRIP recognizes </w:t>
      </w:r>
      <w:r w:rsidR="00C95A84">
        <w:t>Indigenous</w:t>
      </w:r>
      <w:r w:rsidR="00FC63E1">
        <w:t xml:space="preserve"> Peoples</w:t>
      </w:r>
      <w:r w:rsidRPr="00925B59">
        <w:t>’ rights to “own, use, develop and control the lands, territories and resources that they possess by reason of traditional ownership.”</w:t>
      </w:r>
      <w:r w:rsidRPr="00925B59">
        <w:rPr>
          <w:rStyle w:val="FootnoteReference"/>
        </w:rPr>
        <w:footnoteReference w:id="427"/>
      </w:r>
      <w:r w:rsidR="00294A66" w:rsidRPr="00925B59">
        <w:t xml:space="preserve"> The protection of </w:t>
      </w:r>
      <w:r w:rsidR="00C95A84">
        <w:t>Indigenous</w:t>
      </w:r>
      <w:r w:rsidR="006B382E" w:rsidRPr="00925B59">
        <w:t xml:space="preserve"> </w:t>
      </w:r>
      <w:r w:rsidR="00294A66" w:rsidRPr="00925B59">
        <w:t xml:space="preserve">territorial interests </w:t>
      </w:r>
      <w:r w:rsidR="006B382E" w:rsidRPr="00925B59">
        <w:t xml:space="preserve">is an important aspect of </w:t>
      </w:r>
      <w:r w:rsidR="00C95A84">
        <w:t>Indigenous</w:t>
      </w:r>
      <w:r w:rsidR="00B67048" w:rsidRPr="00925B59">
        <w:t xml:space="preserve"> economic development, </w:t>
      </w:r>
      <w:r w:rsidR="00866142">
        <w:t xml:space="preserve">self-government, </w:t>
      </w:r>
      <w:r w:rsidR="00B67048" w:rsidRPr="00925B59">
        <w:t xml:space="preserve">self-sufficiency, and self-determination, which are also fundamental rights of </w:t>
      </w:r>
      <w:r w:rsidR="00C95A84">
        <w:t>Indigenous</w:t>
      </w:r>
      <w:r w:rsidR="00FC63E1">
        <w:t xml:space="preserve"> Peoples</w:t>
      </w:r>
      <w:r w:rsidR="00B67048" w:rsidRPr="00925B59">
        <w:t>.</w:t>
      </w:r>
      <w:r w:rsidR="00B67048" w:rsidRPr="00925B59">
        <w:rPr>
          <w:rStyle w:val="FootnoteReference"/>
        </w:rPr>
        <w:footnoteReference w:id="428"/>
      </w:r>
      <w:r w:rsidR="008F5BCC" w:rsidRPr="00925B59">
        <w:t xml:space="preserve"> </w:t>
      </w:r>
    </w:p>
    <w:p w14:paraId="04169711" w14:textId="77777777" w:rsidR="005163D0" w:rsidRDefault="005163D0" w:rsidP="00B12B13">
      <w:pPr>
        <w:widowControl w:val="0"/>
        <w:autoSpaceDE w:val="0"/>
        <w:autoSpaceDN w:val="0"/>
        <w:adjustRightInd w:val="0"/>
      </w:pPr>
    </w:p>
    <w:p w14:paraId="71AE254A" w14:textId="5F202756" w:rsidR="005163D0" w:rsidRPr="00925B59" w:rsidRDefault="005163D0" w:rsidP="00B12B13">
      <w:pPr>
        <w:widowControl w:val="0"/>
        <w:autoSpaceDE w:val="0"/>
        <w:autoSpaceDN w:val="0"/>
        <w:adjustRightInd w:val="0"/>
      </w:pPr>
      <w:r>
        <w:t>Various Arctic Council reports focus on the importance of Indigenous self-government.</w:t>
      </w:r>
      <w:r>
        <w:rPr>
          <w:rStyle w:val="FootnoteReference"/>
        </w:rPr>
        <w:footnoteReference w:id="429"/>
      </w:r>
      <w:r w:rsidR="00084B3B">
        <w:t xml:space="preserve"> Arctic Council recommendations do not address self-government or self-determination</w:t>
      </w:r>
      <w:r w:rsidR="009B375E">
        <w:t>, and they do not emphasize Indigenous human rights</w:t>
      </w:r>
      <w:r w:rsidR="00084B3B">
        <w:t>.</w:t>
      </w:r>
    </w:p>
    <w:p w14:paraId="25BA27A9" w14:textId="77777777" w:rsidR="00B50427" w:rsidRPr="00925B59" w:rsidRDefault="00B50427" w:rsidP="00B12B13">
      <w:pPr>
        <w:widowControl w:val="0"/>
        <w:autoSpaceDE w:val="0"/>
        <w:autoSpaceDN w:val="0"/>
        <w:adjustRightInd w:val="0"/>
      </w:pPr>
    </w:p>
    <w:p w14:paraId="0C593149" w14:textId="2648891A" w:rsidR="00844B87" w:rsidRDefault="00B50427" w:rsidP="00844B87">
      <w:pPr>
        <w:widowControl w:val="0"/>
        <w:autoSpaceDE w:val="0"/>
        <w:autoSpaceDN w:val="0"/>
        <w:adjustRightInd w:val="0"/>
      </w:pPr>
      <w:r w:rsidRPr="00925B59">
        <w:t xml:space="preserve">In the Arctic, a common trend “is the empowerment of </w:t>
      </w:r>
      <w:r w:rsidR="00C95A84">
        <w:t>Indigenous</w:t>
      </w:r>
      <w:r w:rsidR="00FC63E1">
        <w:t xml:space="preserve"> Peoples</w:t>
      </w:r>
      <w:r w:rsidRPr="00925B59">
        <w:t xml:space="preserve"> through new structures of governance as well as through devolution of legislative powers.”</w:t>
      </w:r>
      <w:r w:rsidRPr="00925B59">
        <w:rPr>
          <w:rStyle w:val="FootnoteReference"/>
        </w:rPr>
        <w:footnoteReference w:id="430"/>
      </w:r>
      <w:r w:rsidRPr="00925B59">
        <w:t xml:space="preserve"> </w:t>
      </w:r>
      <w:r w:rsidR="004E3A68" w:rsidRPr="00925B59">
        <w:t>This occurs ma</w:t>
      </w:r>
      <w:r w:rsidR="00340C57" w:rsidRPr="00925B59">
        <w:t xml:space="preserve">inly through </w:t>
      </w:r>
      <w:r w:rsidR="00D652EB">
        <w:t xml:space="preserve">decentralization of decision-making </w:t>
      </w:r>
      <w:r w:rsidR="00DD360A">
        <w:t xml:space="preserve">through </w:t>
      </w:r>
      <w:r w:rsidR="00340C57" w:rsidRPr="00925B59">
        <w:t xml:space="preserve">public government </w:t>
      </w:r>
      <w:r w:rsidR="004E3A68" w:rsidRPr="00925B59">
        <w:rPr>
          <w:lang w:val="en-US"/>
        </w:rPr>
        <w:t>and through forms of ethnic self-government</w:t>
      </w:r>
      <w:r w:rsidR="006E3884">
        <w:rPr>
          <w:lang w:val="en-US"/>
        </w:rPr>
        <w:t>,</w:t>
      </w:r>
      <w:r w:rsidR="00155A0E">
        <w:rPr>
          <w:lang w:val="en-US"/>
        </w:rPr>
        <w:t xml:space="preserve"> which operate in parallel to public government</w:t>
      </w:r>
      <w:r w:rsidR="004E3A68" w:rsidRPr="00925B59">
        <w:rPr>
          <w:lang w:val="en-US"/>
        </w:rPr>
        <w:t>.</w:t>
      </w:r>
      <w:r w:rsidR="00340C57" w:rsidRPr="00925B59">
        <w:rPr>
          <w:rStyle w:val="FootnoteReference"/>
          <w:lang w:val="en-US"/>
        </w:rPr>
        <w:footnoteReference w:id="431"/>
      </w:r>
      <w:r w:rsidR="00340C57" w:rsidRPr="00925B59">
        <w:rPr>
          <w:lang w:val="en-US"/>
        </w:rPr>
        <w:t xml:space="preserve"> </w:t>
      </w:r>
      <w:r w:rsidRPr="00925B59">
        <w:t>In Greenland, for example,</w:t>
      </w:r>
      <w:r w:rsidR="00294A66" w:rsidRPr="00925B59">
        <w:t xml:space="preserve"> the Self-Rule Agreements of 2009 provided Greenland</w:t>
      </w:r>
      <w:r w:rsidR="0078386F" w:rsidRPr="00925B59">
        <w:t>, a public government,</w:t>
      </w:r>
      <w:r w:rsidR="00294A66" w:rsidRPr="00925B59">
        <w:t xml:space="preserve"> with con</w:t>
      </w:r>
      <w:r w:rsidR="00B72F17">
        <w:t xml:space="preserve">trol over its </w:t>
      </w:r>
      <w:r w:rsidR="00C93CD3">
        <w:t>mineral and oil</w:t>
      </w:r>
      <w:r w:rsidR="00B72F17">
        <w:t xml:space="preserve"> resources. T</w:t>
      </w:r>
      <w:r w:rsidR="001F3619" w:rsidRPr="00925B59">
        <w:t xml:space="preserve">he fulfillment of </w:t>
      </w:r>
      <w:r w:rsidR="00C95A84">
        <w:t>Indigenous</w:t>
      </w:r>
      <w:r w:rsidR="001F3619" w:rsidRPr="00925B59">
        <w:t xml:space="preserve"> rights and engagement is </w:t>
      </w:r>
      <w:r w:rsidR="00B72F17">
        <w:t xml:space="preserve">thus </w:t>
      </w:r>
      <w:r w:rsidR="001F3619" w:rsidRPr="00925B59">
        <w:t xml:space="preserve">dependent </w:t>
      </w:r>
      <w:r w:rsidR="00294A66" w:rsidRPr="00925B59">
        <w:t xml:space="preserve">on </w:t>
      </w:r>
      <w:r w:rsidR="00294A66" w:rsidRPr="00925B59">
        <w:rPr>
          <w:lang w:val="en-US"/>
        </w:rPr>
        <w:t>participatory democratic process and mandatory consultation frameworks.</w:t>
      </w:r>
      <w:r w:rsidR="00294A66" w:rsidRPr="00925B59">
        <w:rPr>
          <w:rStyle w:val="FootnoteReference"/>
          <w:lang w:val="en-US"/>
        </w:rPr>
        <w:footnoteReference w:id="432"/>
      </w:r>
      <w:r w:rsidR="00340C57" w:rsidRPr="00925B59">
        <w:rPr>
          <w:lang w:val="en-US"/>
        </w:rPr>
        <w:t xml:space="preserve"> </w:t>
      </w:r>
      <w:r w:rsidR="00DD360A">
        <w:t>Similarly, i</w:t>
      </w:r>
      <w:r w:rsidR="0078386F" w:rsidRPr="00925B59">
        <w:t xml:space="preserve">n other cases, public governments of </w:t>
      </w:r>
      <w:r w:rsidR="00C95A84">
        <w:t>Indigenous</w:t>
      </w:r>
      <w:r w:rsidR="0078386F" w:rsidRPr="00925B59">
        <w:t xml:space="preserve"> majorities exist at the local </w:t>
      </w:r>
      <w:r w:rsidR="00DD360A">
        <w:t xml:space="preserve">level </w:t>
      </w:r>
      <w:r w:rsidR="0078386F" w:rsidRPr="00925B59">
        <w:t xml:space="preserve">and have jurisdiction over specific areas as determined by the relationship between federal and local government. For example, in Alaska, the North Slope Borough has jurisdiction over various issues affecting its </w:t>
      </w:r>
      <w:r w:rsidR="00C95A84">
        <w:t>Indigenous</w:t>
      </w:r>
      <w:r w:rsidR="0078386F" w:rsidRPr="00925B59">
        <w:t xml:space="preserve"> inhabitants, including the ability to tax oil and gas production and pipeline property within the Borough limits. Similarly, </w:t>
      </w:r>
      <w:r w:rsidR="00DD360A">
        <w:t xml:space="preserve">in Canada, Nunavut and the Northwest Territories have public forms of government with </w:t>
      </w:r>
      <w:r w:rsidR="0078386F" w:rsidRPr="00925B59">
        <w:t>jurisdiction over a range of issues</w:t>
      </w:r>
      <w:r w:rsidR="00755F90" w:rsidRPr="00925B59">
        <w:t xml:space="preserve">. </w:t>
      </w:r>
      <w:r w:rsidR="00CB4AAC">
        <w:t>Devolving governance so that northerners have greater control over their destinies is one of the main pillars of Canada’s Integrated Northern Strategy.</w:t>
      </w:r>
    </w:p>
    <w:p w14:paraId="0D7237DC" w14:textId="77777777" w:rsidR="00844B87" w:rsidRDefault="00844B87" w:rsidP="00844B87">
      <w:pPr>
        <w:widowControl w:val="0"/>
        <w:autoSpaceDE w:val="0"/>
        <w:autoSpaceDN w:val="0"/>
        <w:adjustRightInd w:val="0"/>
      </w:pPr>
    </w:p>
    <w:p w14:paraId="28E90788" w14:textId="29E2FED6" w:rsidR="00155A0E" w:rsidRPr="00844B87" w:rsidRDefault="00155A0E" w:rsidP="00155A0E">
      <w:pPr>
        <w:widowControl w:val="0"/>
        <w:autoSpaceDE w:val="0"/>
        <w:autoSpaceDN w:val="0"/>
        <w:adjustRightInd w:val="0"/>
      </w:pPr>
      <w:r w:rsidRPr="00925B59">
        <w:t xml:space="preserve">In Russia, </w:t>
      </w:r>
      <w:r w:rsidR="00975FDD">
        <w:t xml:space="preserve">both </w:t>
      </w:r>
      <w:r>
        <w:t>public government a</w:t>
      </w:r>
      <w:r w:rsidR="00975FDD">
        <w:t>nd</w:t>
      </w:r>
      <w:r>
        <w:t xml:space="preserve"> </w:t>
      </w:r>
      <w:r w:rsidR="00C95A84">
        <w:t>Indigenous</w:t>
      </w:r>
      <w:r>
        <w:t xml:space="preserve"> rights</w:t>
      </w:r>
      <w:r w:rsidR="00975FDD">
        <w:t xml:space="preserve"> address the issue of self-determination</w:t>
      </w:r>
      <w:r>
        <w:t>.</w:t>
      </w:r>
      <w:r w:rsidR="00844B87">
        <w:t xml:space="preserve"> </w:t>
      </w:r>
      <w:r>
        <w:lastRenderedPageBreak/>
        <w:t>For example, t</w:t>
      </w:r>
      <w:r w:rsidRPr="00925B59">
        <w:t xml:space="preserve">he </w:t>
      </w:r>
      <w:r w:rsidRPr="00844B87">
        <w:t xml:space="preserve">Constitution of the Republic of Sakha (Yakutia) provides for local self-government and the right of </w:t>
      </w:r>
      <w:r w:rsidR="00C95A84" w:rsidRPr="00844B87">
        <w:t>Indigenous</w:t>
      </w:r>
      <w:r w:rsidR="00FC63E1" w:rsidRPr="00844B87">
        <w:t xml:space="preserve"> Peoples</w:t>
      </w:r>
      <w:r w:rsidRPr="00844B87">
        <w:t xml:space="preserve"> to own and use tribal agricultural, hunting, and fishing grounds.</w:t>
      </w:r>
      <w:r w:rsidRPr="00844B87">
        <w:rPr>
          <w:rStyle w:val="FootnoteReference"/>
        </w:rPr>
        <w:footnoteReference w:id="433"/>
      </w:r>
      <w:r w:rsidR="00975FDD" w:rsidRPr="00844B87">
        <w:t xml:space="preserve"> While either </w:t>
      </w:r>
      <w:r w:rsidR="00700F60" w:rsidRPr="00844B87">
        <w:t>approach</w:t>
      </w:r>
      <w:r w:rsidR="00975FDD" w:rsidRPr="00844B87">
        <w:t xml:space="preserve"> (</w:t>
      </w:r>
      <w:r w:rsidR="00844B87" w:rsidRPr="00844B87">
        <w:t>ethnic or non-ethnic self government</w:t>
      </w:r>
      <w:r w:rsidR="00975FDD" w:rsidRPr="00844B87">
        <w:t xml:space="preserve">) can provide a basis for self-determination, </w:t>
      </w:r>
      <w:r w:rsidR="00844B87" w:rsidRPr="00844B87">
        <w:rPr>
          <w:color w:val="1A1718"/>
          <w:lang w:val="en-US"/>
        </w:rPr>
        <w:t>adequate safeguards for the rights and interests of Indigenous Peoples are necessary and</w:t>
      </w:r>
      <w:r w:rsidR="00844B87" w:rsidRPr="00844B87">
        <w:t xml:space="preserve"> </w:t>
      </w:r>
      <w:r w:rsidR="00700F60" w:rsidRPr="00844B87">
        <w:t xml:space="preserve">the proper </w:t>
      </w:r>
      <w:r w:rsidR="00975FDD" w:rsidRPr="00844B87">
        <w:t xml:space="preserve">implementation </w:t>
      </w:r>
      <w:r w:rsidR="00700F60" w:rsidRPr="00844B87">
        <w:t xml:space="preserve">and consistent enforcement </w:t>
      </w:r>
      <w:r w:rsidR="00975FDD" w:rsidRPr="00844B87">
        <w:t>of these laws is fundamental to their success in supporting meaningful engagement.</w:t>
      </w:r>
    </w:p>
    <w:p w14:paraId="45EF9D5D" w14:textId="77777777" w:rsidR="00155A0E" w:rsidRPr="00844B87" w:rsidRDefault="00155A0E" w:rsidP="00155A0E">
      <w:pPr>
        <w:widowControl w:val="0"/>
        <w:autoSpaceDE w:val="0"/>
        <w:autoSpaceDN w:val="0"/>
        <w:adjustRightInd w:val="0"/>
      </w:pPr>
    </w:p>
    <w:p w14:paraId="78E2C6E3" w14:textId="327F4966" w:rsidR="00155A0E" w:rsidRDefault="00755F90" w:rsidP="00DD360A">
      <w:pPr>
        <w:widowControl w:val="0"/>
        <w:autoSpaceDE w:val="0"/>
        <w:autoSpaceDN w:val="0"/>
        <w:adjustRightInd w:val="0"/>
      </w:pPr>
      <w:r w:rsidRPr="00844B87">
        <w:t xml:space="preserve">Arrangements for </w:t>
      </w:r>
      <w:r w:rsidR="00C95A84" w:rsidRPr="00844B87">
        <w:t>Indigenous</w:t>
      </w:r>
      <w:r w:rsidRPr="00844B87">
        <w:t xml:space="preserve"> self-government</w:t>
      </w:r>
      <w:r w:rsidRPr="00925B59">
        <w:t xml:space="preserve"> also support </w:t>
      </w:r>
      <w:r w:rsidR="00C95A84">
        <w:t>Indigenous</w:t>
      </w:r>
      <w:r w:rsidRPr="00925B59">
        <w:t xml:space="preserve"> rights. </w:t>
      </w:r>
      <w:r w:rsidR="00155A0E">
        <w:t xml:space="preserve">For example, in Alaska, tribal governments operate in parallel to public government. </w:t>
      </w:r>
      <w:r w:rsidR="00700F60">
        <w:t xml:space="preserve">Thus, tribal governments have jurisdiction over specified issues while the public government maintains jurisdiction over other issues. </w:t>
      </w:r>
      <w:r w:rsidR="00D738D8">
        <w:t xml:space="preserve">The Saami Parliaments in Norway, Sweden, and Finland are also forms of </w:t>
      </w:r>
      <w:r w:rsidR="00C95A84">
        <w:t>Indigenous</w:t>
      </w:r>
      <w:r w:rsidR="00D738D8">
        <w:t xml:space="preserve"> self-government. </w:t>
      </w:r>
      <w:r w:rsidR="00DD360A">
        <w:t>S</w:t>
      </w:r>
      <w:r w:rsidR="00B50427" w:rsidRPr="00925B59">
        <w:t>ome land claims agreements in Canada provide</w:t>
      </w:r>
      <w:r w:rsidR="00D738D8">
        <w:t xml:space="preserve"> self governance, including</w:t>
      </w:r>
      <w:r w:rsidR="00B50427" w:rsidRPr="00925B59">
        <w:t xml:space="preserve"> </w:t>
      </w:r>
      <w:r w:rsidR="00D738D8">
        <w:t xml:space="preserve">the </w:t>
      </w:r>
      <w:r w:rsidR="00B50427" w:rsidRPr="00925B59">
        <w:t>transfer of land</w:t>
      </w:r>
      <w:r w:rsidR="00DD360A">
        <w:t xml:space="preserve"> to </w:t>
      </w:r>
      <w:r w:rsidR="00C95A84">
        <w:t>Indigenous</w:t>
      </w:r>
      <w:r w:rsidR="00FC63E1">
        <w:t xml:space="preserve"> Peoples</w:t>
      </w:r>
      <w:r w:rsidR="00B50427" w:rsidRPr="00925B59">
        <w:t>. For example, the Tlicho land claims agreement transferred land to the Tlicho government, which has the authority to grant leases, licenses, and rights to remove natural resources on the land, as well as receive the full economic benefits of resources removed from their land.</w:t>
      </w:r>
      <w:r w:rsidR="00B50427" w:rsidRPr="00925B59">
        <w:rPr>
          <w:rStyle w:val="FootnoteReference"/>
        </w:rPr>
        <w:footnoteReference w:id="434"/>
      </w:r>
      <w:r w:rsidR="003309C7" w:rsidRPr="00925B59">
        <w:t xml:space="preserve"> </w:t>
      </w:r>
      <w:r w:rsidR="00700F60">
        <w:t>These self-governance arrangements, because they operate in parallel with public governments, can be viewed as an extension of co-management.</w:t>
      </w:r>
    </w:p>
    <w:p w14:paraId="148705C6" w14:textId="77777777" w:rsidR="00B50427" w:rsidRPr="00925B59" w:rsidRDefault="00B50427" w:rsidP="00755F90">
      <w:pPr>
        <w:widowControl w:val="0"/>
        <w:autoSpaceDE w:val="0"/>
        <w:autoSpaceDN w:val="0"/>
        <w:adjustRightInd w:val="0"/>
      </w:pPr>
    </w:p>
    <w:p w14:paraId="39EF43F3" w14:textId="4AF260FB" w:rsidR="00BA4F28" w:rsidRPr="00925B59" w:rsidRDefault="00BA4F28" w:rsidP="00755F90">
      <w:pPr>
        <w:widowControl w:val="0"/>
        <w:autoSpaceDE w:val="0"/>
        <w:autoSpaceDN w:val="0"/>
        <w:adjustRightInd w:val="0"/>
      </w:pPr>
      <w:r w:rsidRPr="00925B59">
        <w:t>Adequate sources of funding to operate these forms of governm</w:t>
      </w:r>
      <w:r w:rsidR="00592F0F" w:rsidRPr="00925B59">
        <w:t>ent are essential, and an</w:t>
      </w:r>
      <w:r w:rsidRPr="00925B59">
        <w:t xml:space="preserve"> imbalance of limited revenue and expanded governance responsibilities </w:t>
      </w:r>
      <w:r w:rsidR="00592F0F" w:rsidRPr="00925B59">
        <w:t xml:space="preserve">will undermine efforts to promote </w:t>
      </w:r>
      <w:r w:rsidR="00C95A84">
        <w:t>Indigenous</w:t>
      </w:r>
      <w:r w:rsidR="00592F0F" w:rsidRPr="00925B59">
        <w:t xml:space="preserve"> autonomy. </w:t>
      </w:r>
      <w:r w:rsidR="00D17265">
        <w:t>The Saami Parliament submits an annual budget to and receives funds from the central government.</w:t>
      </w:r>
      <w:r w:rsidR="00D17265">
        <w:rPr>
          <w:rStyle w:val="FootnoteReference"/>
        </w:rPr>
        <w:footnoteReference w:id="435"/>
      </w:r>
      <w:r w:rsidR="00D17265">
        <w:t xml:space="preserve"> </w:t>
      </w:r>
      <w:r w:rsidR="00592F0F" w:rsidRPr="00925B59">
        <w:t xml:space="preserve">Arrangements that provide </w:t>
      </w:r>
      <w:r w:rsidR="00C95A84">
        <w:t>Indigenous</w:t>
      </w:r>
      <w:r w:rsidR="00592F0F" w:rsidRPr="00925B59">
        <w:t xml:space="preserve"> self-government institutions the same fiscal conditions enjoyed by regional or local level public governments can help to address this challenge.</w:t>
      </w:r>
      <w:r w:rsidR="00592F0F" w:rsidRPr="00925B59">
        <w:rPr>
          <w:rStyle w:val="FootnoteReference"/>
        </w:rPr>
        <w:footnoteReference w:id="436"/>
      </w:r>
      <w:r w:rsidR="005836B9" w:rsidRPr="00925B59">
        <w:t xml:space="preserve"> The principle of equalization, whereby local government receive federal transfers public services and programs that are on par with those comparable to those in other areas, at comparable levels of taxation, is a key aspect of federal fiscal policy to consider in the </w:t>
      </w:r>
      <w:r w:rsidR="00C95A84">
        <w:t>Indigenous</w:t>
      </w:r>
      <w:r w:rsidR="005836B9" w:rsidRPr="00925B59">
        <w:t xml:space="preserve"> governance context.</w:t>
      </w:r>
      <w:r w:rsidR="005836B9" w:rsidRPr="00925B59">
        <w:rPr>
          <w:rStyle w:val="FootnoteReference"/>
        </w:rPr>
        <w:footnoteReference w:id="437"/>
      </w:r>
      <w:r w:rsidR="00700F60">
        <w:t xml:space="preserve"> Current social and economic conditions for Indigenous Peoples can be improved through stronger implementation of the principle of equalization.</w:t>
      </w:r>
    </w:p>
    <w:p w14:paraId="75903FDF" w14:textId="77777777" w:rsidR="00BA4F28" w:rsidRPr="00925B59" w:rsidRDefault="00BA4F28" w:rsidP="00755F90">
      <w:pPr>
        <w:widowControl w:val="0"/>
        <w:autoSpaceDE w:val="0"/>
        <w:autoSpaceDN w:val="0"/>
        <w:adjustRightInd w:val="0"/>
      </w:pPr>
    </w:p>
    <w:p w14:paraId="545739CC" w14:textId="6C2FC800" w:rsidR="00A94605" w:rsidRDefault="00C95A84" w:rsidP="00B12B13">
      <w:pPr>
        <w:widowControl w:val="0"/>
        <w:autoSpaceDE w:val="0"/>
        <w:autoSpaceDN w:val="0"/>
        <w:adjustRightInd w:val="0"/>
        <w:rPr>
          <w:lang w:val="en-US"/>
        </w:rPr>
      </w:pPr>
      <w:r>
        <w:t>Indigenous</w:t>
      </w:r>
      <w:r w:rsidR="00CF7D33" w:rsidRPr="00925B59">
        <w:t xml:space="preserve"> autonomy is also supported throug</w:t>
      </w:r>
      <w:r w:rsidR="006E3884">
        <w:t>h busi</w:t>
      </w:r>
      <w:r w:rsidR="008926E0">
        <w:t>ness development. For example, tourism companies</w:t>
      </w:r>
      <w:r w:rsidR="00CF7D33" w:rsidRPr="00925B59">
        <w:t xml:space="preserve"> may provide some </w:t>
      </w:r>
      <w:r>
        <w:t>Indigenous</w:t>
      </w:r>
      <w:r w:rsidR="00FC63E1">
        <w:t xml:space="preserve"> Peoples</w:t>
      </w:r>
      <w:r w:rsidR="00CF7D33" w:rsidRPr="00925B59">
        <w:t xml:space="preserve"> </w:t>
      </w:r>
      <w:r w:rsidR="00834C2D" w:rsidRPr="00925B59">
        <w:t xml:space="preserve">and communities </w:t>
      </w:r>
      <w:r w:rsidR="00CF7D33" w:rsidRPr="00925B59">
        <w:t>important opportunities to gain</w:t>
      </w:r>
      <w:r w:rsidR="00CF7D33" w:rsidRPr="00925B59">
        <w:rPr>
          <w:lang w:val="en-US"/>
        </w:rPr>
        <w:t xml:space="preserve"> control of additional aspect of their social and economic life by creating and independently managing businesses that preserve and transmit their cultural heritage.</w:t>
      </w:r>
      <w:r w:rsidR="00CF7D33" w:rsidRPr="00925B59">
        <w:rPr>
          <w:rStyle w:val="FootnoteReference"/>
          <w:lang w:val="en-US"/>
        </w:rPr>
        <w:footnoteReference w:id="438"/>
      </w:r>
    </w:p>
    <w:p w14:paraId="04F1AD42" w14:textId="77777777" w:rsidR="00A94605" w:rsidRDefault="00A94605">
      <w:pPr>
        <w:rPr>
          <w:lang w:val="en-US"/>
        </w:rPr>
      </w:pPr>
      <w:r>
        <w:rPr>
          <w:lang w:val="en-US"/>
        </w:rPr>
        <w:br w:type="page"/>
      </w:r>
    </w:p>
    <w:p w14:paraId="1AF53115" w14:textId="28A81C6D" w:rsidR="00B50427" w:rsidRPr="00FD6DA7" w:rsidRDefault="00B50427" w:rsidP="00B12B13">
      <w:pPr>
        <w:widowControl w:val="0"/>
        <w:autoSpaceDE w:val="0"/>
        <w:autoSpaceDN w:val="0"/>
        <w:adjustRightInd w:val="0"/>
      </w:pPr>
    </w:p>
    <w:p w14:paraId="3E0D6F22" w14:textId="1FC9576B" w:rsidR="00A147B3" w:rsidRPr="005205DF" w:rsidRDefault="00446B0A" w:rsidP="00FD6DA7">
      <w:pPr>
        <w:pStyle w:val="Heading1"/>
        <w:numPr>
          <w:ilvl w:val="0"/>
          <w:numId w:val="28"/>
        </w:numPr>
        <w:rPr>
          <w:rFonts w:ascii="Times New Roman" w:hAnsi="Times New Roman" w:cs="Times New Roman"/>
          <w:color w:val="auto"/>
          <w:sz w:val="24"/>
          <w:szCs w:val="24"/>
        </w:rPr>
      </w:pPr>
      <w:bookmarkStart w:id="103" w:name="_Toc334125719"/>
      <w:r w:rsidRPr="005205DF">
        <w:rPr>
          <w:rFonts w:ascii="Times New Roman" w:hAnsi="Times New Roman" w:cs="Times New Roman"/>
          <w:color w:val="auto"/>
          <w:sz w:val="24"/>
          <w:szCs w:val="24"/>
        </w:rPr>
        <w:t xml:space="preserve">The Arctic Council and </w:t>
      </w:r>
      <w:r w:rsidR="00C95A84" w:rsidRPr="005205DF">
        <w:rPr>
          <w:rFonts w:ascii="Times New Roman" w:hAnsi="Times New Roman" w:cs="Times New Roman"/>
          <w:color w:val="auto"/>
          <w:sz w:val="24"/>
          <w:szCs w:val="24"/>
        </w:rPr>
        <w:t>Indigenous</w:t>
      </w:r>
      <w:r w:rsidRPr="005205DF">
        <w:rPr>
          <w:rFonts w:ascii="Times New Roman" w:hAnsi="Times New Roman" w:cs="Times New Roman"/>
          <w:color w:val="auto"/>
          <w:sz w:val="24"/>
          <w:szCs w:val="24"/>
        </w:rPr>
        <w:t xml:space="preserve"> Engagement</w:t>
      </w:r>
      <w:bookmarkEnd w:id="103"/>
    </w:p>
    <w:p w14:paraId="787E2B80" w14:textId="77777777" w:rsidR="00446B0A" w:rsidRPr="00012FF0" w:rsidRDefault="00446B0A" w:rsidP="002B3384"/>
    <w:p w14:paraId="26D80808" w14:textId="159DC06C" w:rsidR="001A010C" w:rsidRPr="0004592D" w:rsidRDefault="00042872" w:rsidP="001A010C">
      <w:r>
        <w:rPr>
          <w:noProof/>
          <w:lang w:val="en-US"/>
        </w:rPr>
        <mc:AlternateContent>
          <mc:Choice Requires="wps">
            <w:drawing>
              <wp:anchor distT="0" distB="0" distL="114300" distR="114300" simplePos="0" relativeHeight="251665408" behindDoc="0" locked="0" layoutInCell="1" allowOverlap="1" wp14:anchorId="7ED74523" wp14:editId="1937C44D">
                <wp:simplePos x="0" y="0"/>
                <wp:positionH relativeFrom="column">
                  <wp:posOffset>0</wp:posOffset>
                </wp:positionH>
                <wp:positionV relativeFrom="paragraph">
                  <wp:posOffset>1303020</wp:posOffset>
                </wp:positionV>
                <wp:extent cx="1485900" cy="1859280"/>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1485900" cy="18592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5B7A506" w14:textId="4FFC4049" w:rsidR="00D43BBB" w:rsidRPr="00042872" w:rsidRDefault="00D43BBB" w:rsidP="00042872">
                            <w:pPr>
                              <w:jc w:val="center"/>
                              <w:rPr>
                                <w:rFonts w:asciiTheme="minorHAnsi" w:hAnsiTheme="minorHAnsi"/>
                                <w:i/>
                                <w:color w:val="3366FF"/>
                                <w:sz w:val="20"/>
                                <w:szCs w:val="20"/>
                              </w:rPr>
                            </w:pPr>
                            <w:r>
                              <w:rPr>
                                <w:rFonts w:asciiTheme="minorHAnsi" w:hAnsiTheme="minorHAnsi"/>
                                <w:i/>
                                <w:color w:val="3366FF"/>
                                <w:sz w:val="20"/>
                                <w:szCs w:val="20"/>
                              </w:rPr>
                              <w:br/>
                              <w:t>“P</w:t>
                            </w:r>
                            <w:r w:rsidRPr="00042872">
                              <w:rPr>
                                <w:rFonts w:asciiTheme="minorHAnsi" w:hAnsiTheme="minorHAnsi"/>
                                <w:i/>
                                <w:color w:val="3366FF"/>
                                <w:sz w:val="20"/>
                                <w:szCs w:val="20"/>
                              </w:rPr>
                              <w:t>arties</w:t>
                            </w:r>
                            <w:r>
                              <w:rPr>
                                <w:rFonts w:asciiTheme="minorHAnsi" w:hAnsiTheme="minorHAnsi"/>
                                <w:i/>
                                <w:color w:val="3366FF"/>
                                <w:sz w:val="20"/>
                                <w:szCs w:val="20"/>
                              </w:rPr>
                              <w:t>’ understanding</w:t>
                            </w:r>
                            <w:r w:rsidRPr="00042872">
                              <w:rPr>
                                <w:rFonts w:asciiTheme="minorHAnsi" w:hAnsiTheme="minorHAnsi"/>
                                <w:i/>
                                <w:color w:val="3366FF"/>
                                <w:sz w:val="20"/>
                                <w:szCs w:val="20"/>
                              </w:rPr>
                              <w:t xml:space="preserve"> of what meaningful engagement </w:t>
                            </w:r>
                            <w:r>
                              <w:rPr>
                                <w:rFonts w:asciiTheme="minorHAnsi" w:hAnsiTheme="minorHAnsi"/>
                                <w:i/>
                                <w:color w:val="3366FF"/>
                                <w:sz w:val="20"/>
                                <w:szCs w:val="20"/>
                              </w:rPr>
                              <w:t xml:space="preserve">is may differ, but there are </w:t>
                            </w:r>
                            <w:r w:rsidRPr="00042872">
                              <w:rPr>
                                <w:rFonts w:asciiTheme="minorHAnsi" w:hAnsiTheme="minorHAnsi"/>
                                <w:i/>
                                <w:color w:val="3366FF"/>
                                <w:sz w:val="20"/>
                                <w:szCs w:val="20"/>
                              </w:rPr>
                              <w:t xml:space="preserve">similar elements and principles of meaningful engagement </w:t>
                            </w:r>
                            <w:r>
                              <w:rPr>
                                <w:rFonts w:asciiTheme="minorHAnsi" w:hAnsiTheme="minorHAnsi"/>
                                <w:i/>
                                <w:color w:val="3366FF"/>
                                <w:sz w:val="20"/>
                                <w:szCs w:val="20"/>
                              </w:rPr>
                              <w:t>throughout.”</w:t>
                            </w:r>
                          </w:p>
                          <w:p w14:paraId="5CBD9E03" w14:textId="7163BA45" w:rsidR="00D43BBB" w:rsidRPr="00042872" w:rsidRDefault="00D43BBB" w:rsidP="00042872">
                            <w:pPr>
                              <w:jc w:val="center"/>
                              <w:rPr>
                                <w:i/>
                                <w:color w:val="3366FF"/>
                                <w:sz w:val="20"/>
                                <w:szCs w:val="20"/>
                              </w:rPr>
                            </w:pPr>
                            <w:r w:rsidRPr="00042872">
                              <w:rPr>
                                <w:rFonts w:asciiTheme="minorHAnsi" w:hAnsiTheme="minorHAnsi"/>
                                <w:i/>
                                <w:color w:val="3366FF"/>
                                <w:sz w:val="20"/>
                                <w:szCs w:val="20"/>
                              </w:rPr>
                              <w:t>Elizabeth Edmondson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2" o:spid="_x0000_s1028" type="#_x0000_t202" style="position:absolute;margin-left:0;margin-top:102.6pt;width:117pt;height:14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" filled="f" stroked="f">
                <v:textbox>
                  <w:txbxContent>
                    <w:p w14:paraId="05B7A506" w14:textId="4FFC4049" w:rsidR="00D43BBB" w:rsidRPr="00042872" w:rsidRDefault="00D43BBB" w:rsidP="00042872">
                      <w:pPr>
                        <w:jc w:val="center"/>
                        <w:rPr>
                          <w:rFonts w:asciiTheme="minorHAnsi" w:hAnsiTheme="minorHAnsi"/>
                          <w:i/>
                          <w:color w:val="3366FF"/>
                          <w:sz w:val="20"/>
                          <w:szCs w:val="20"/>
                        </w:rPr>
                      </w:pPr>
                      <w:r>
                        <w:rPr>
                          <w:rFonts w:asciiTheme="minorHAnsi" w:hAnsiTheme="minorHAnsi"/>
                          <w:i/>
                          <w:color w:val="3366FF"/>
                          <w:sz w:val="20"/>
                          <w:szCs w:val="20"/>
                        </w:rPr>
                        <w:br/>
                        <w:t>“P</w:t>
                      </w:r>
                      <w:r w:rsidRPr="00042872">
                        <w:rPr>
                          <w:rFonts w:asciiTheme="minorHAnsi" w:hAnsiTheme="minorHAnsi"/>
                          <w:i/>
                          <w:color w:val="3366FF"/>
                          <w:sz w:val="20"/>
                          <w:szCs w:val="20"/>
                        </w:rPr>
                        <w:t>arties</w:t>
                      </w:r>
                      <w:r>
                        <w:rPr>
                          <w:rFonts w:asciiTheme="minorHAnsi" w:hAnsiTheme="minorHAnsi"/>
                          <w:i/>
                          <w:color w:val="3366FF"/>
                          <w:sz w:val="20"/>
                          <w:szCs w:val="20"/>
                        </w:rPr>
                        <w:t>’ understanding</w:t>
                      </w:r>
                      <w:r w:rsidRPr="00042872">
                        <w:rPr>
                          <w:rFonts w:asciiTheme="minorHAnsi" w:hAnsiTheme="minorHAnsi"/>
                          <w:i/>
                          <w:color w:val="3366FF"/>
                          <w:sz w:val="20"/>
                          <w:szCs w:val="20"/>
                        </w:rPr>
                        <w:t xml:space="preserve"> of what meaningful engagement </w:t>
                      </w:r>
                      <w:r>
                        <w:rPr>
                          <w:rFonts w:asciiTheme="minorHAnsi" w:hAnsiTheme="minorHAnsi"/>
                          <w:i/>
                          <w:color w:val="3366FF"/>
                          <w:sz w:val="20"/>
                          <w:szCs w:val="20"/>
                        </w:rPr>
                        <w:t xml:space="preserve">is may differ, but there are </w:t>
                      </w:r>
                      <w:r w:rsidRPr="00042872">
                        <w:rPr>
                          <w:rFonts w:asciiTheme="minorHAnsi" w:hAnsiTheme="minorHAnsi"/>
                          <w:i/>
                          <w:color w:val="3366FF"/>
                          <w:sz w:val="20"/>
                          <w:szCs w:val="20"/>
                        </w:rPr>
                        <w:t xml:space="preserve">similar elements and principles of meaningful engagement </w:t>
                      </w:r>
                      <w:r>
                        <w:rPr>
                          <w:rFonts w:asciiTheme="minorHAnsi" w:hAnsiTheme="minorHAnsi"/>
                          <w:i/>
                          <w:color w:val="3366FF"/>
                          <w:sz w:val="20"/>
                          <w:szCs w:val="20"/>
                        </w:rPr>
                        <w:t>throughout.”</w:t>
                      </w:r>
                    </w:p>
                    <w:p w14:paraId="5CBD9E03" w14:textId="7163BA45" w:rsidR="00D43BBB" w:rsidRPr="00042872" w:rsidRDefault="00D43BBB" w:rsidP="00042872">
                      <w:pPr>
                        <w:jc w:val="center"/>
                        <w:rPr>
                          <w:i/>
                          <w:color w:val="3366FF"/>
                          <w:sz w:val="20"/>
                          <w:szCs w:val="20"/>
                        </w:rPr>
                      </w:pPr>
                      <w:r w:rsidRPr="00042872">
                        <w:rPr>
                          <w:rFonts w:asciiTheme="minorHAnsi" w:hAnsiTheme="minorHAnsi"/>
                          <w:i/>
                          <w:color w:val="3366FF"/>
                          <w:sz w:val="20"/>
                          <w:szCs w:val="20"/>
                        </w:rPr>
                        <w:t>Elizabeth Edmondson</w:t>
                      </w:r>
                    </w:p>
                  </w:txbxContent>
                </v:textbox>
                <w10:wrap type="square"/>
              </v:shape>
            </w:pict>
          </mc:Fallback>
        </mc:AlternateContent>
      </w:r>
      <w:r w:rsidR="0004592D">
        <w:t>As this paper demonstrates, p</w:t>
      </w:r>
      <w:r w:rsidR="001A010C" w:rsidRPr="001A010C">
        <w:t xml:space="preserve">arties’ understanding of what meaningful engagement is may differ, but there are similar elements and principles of meaningful engagement throughout the </w:t>
      </w:r>
      <w:r w:rsidR="0004592D">
        <w:t xml:space="preserve">good practices and </w:t>
      </w:r>
      <w:r w:rsidR="001A010C" w:rsidRPr="001A010C">
        <w:t>recommendations</w:t>
      </w:r>
      <w:r w:rsidR="001A010C">
        <w:t>. Yet, there are no generally applicable guidelines for entities conducting activities in the Arcti</w:t>
      </w:r>
      <w:r w:rsidR="00F4187F">
        <w:t>c; instead, there is</w:t>
      </w:r>
      <w:r w:rsidR="001A010C">
        <w:t xml:space="preserve"> only a patchwork of recomme</w:t>
      </w:r>
      <w:r w:rsidR="007044AB">
        <w:t xml:space="preserve">ndations and practices aimed </w:t>
      </w:r>
      <w:r w:rsidR="00CD4AE9">
        <w:t>mostly at specific types of organizations.</w:t>
      </w:r>
      <w:r w:rsidR="00702D9A">
        <w:t xml:space="preserve"> Additionally, there are significant gaps in guidance for organizations whose Arctic activities are not regulated, such as NGOs.</w:t>
      </w:r>
      <w:r w:rsidR="001A010C">
        <w:t xml:space="preserve"> </w:t>
      </w:r>
      <w:r w:rsidR="0004592D">
        <w:t>The Arctic Council could consider recommending that entities conducting activities in the Arctic review their Indigenous engagement practices to identify how these practices can be strengthened and ensure that they have adopted and abide by good practices of Indigenous engagement</w:t>
      </w:r>
      <w:r w:rsidR="0004592D" w:rsidRPr="001A010C">
        <w:t>.</w:t>
      </w:r>
      <w:r w:rsidR="0004592D">
        <w:t xml:space="preserve"> The Arctic Council could</w:t>
      </w:r>
      <w:r w:rsidR="001A010C">
        <w:t xml:space="preserve"> </w:t>
      </w:r>
      <w:r w:rsidR="0004592D">
        <w:t>also</w:t>
      </w:r>
      <w:r w:rsidR="00CD4AE9">
        <w:t xml:space="preserve"> </w:t>
      </w:r>
      <w:r w:rsidR="001A010C">
        <w:t>consider</w:t>
      </w:r>
      <w:r w:rsidR="00CD4AE9">
        <w:t xml:space="preserve"> promoting a </w:t>
      </w:r>
      <w:r w:rsidR="00A13995">
        <w:t xml:space="preserve">widely </w:t>
      </w:r>
      <w:r w:rsidR="00CD4AE9">
        <w:t>applicable set of good practices for engagement all entities conducting activities in the Arctic</w:t>
      </w:r>
      <w:r w:rsidR="007A7892">
        <w:t>.</w:t>
      </w:r>
      <w:r w:rsidR="007A7892" w:rsidRPr="00E04747">
        <w:t xml:space="preserve"> </w:t>
      </w:r>
    </w:p>
    <w:p w14:paraId="3A95FB57" w14:textId="77777777" w:rsidR="001A010C" w:rsidRDefault="001A010C" w:rsidP="002B3384"/>
    <w:p w14:paraId="57F99EE2" w14:textId="77777777" w:rsidR="0004592D" w:rsidRPr="00925B59" w:rsidRDefault="0004592D" w:rsidP="0004592D">
      <w:r>
        <w:t xml:space="preserve">Compared to good practices of engagement by and with Indigenous Peoples reviewed in this paper, the Arctic Council recommendations focus less on: adequately preparing for engagement; identifying the individuals who will participate in engagement (including the issue of gender); identifying </w:t>
      </w:r>
      <w:r w:rsidRPr="00925B59">
        <w:t xml:space="preserve">the activities that require engagement and the degree </w:t>
      </w:r>
      <w:r>
        <w:t xml:space="preserve">of engagement that is necessary; determining the role of consent in engagement; strengthening accountability by all parties; and shared decision-making, self-government or other mechanisms to support </w:t>
      </w:r>
      <w:r w:rsidRPr="00925B59">
        <w:t xml:space="preserve">the autonomy and human rights of </w:t>
      </w:r>
      <w:r>
        <w:t>Indigenous Peoples</w:t>
      </w:r>
      <w:r w:rsidRPr="00925B59">
        <w:t xml:space="preserve">. </w:t>
      </w:r>
      <w:r>
        <w:t>These could be topics for future Arctic Council research or recommendations to consider.</w:t>
      </w:r>
    </w:p>
    <w:p w14:paraId="5FEBB404" w14:textId="77777777" w:rsidR="0004592D" w:rsidRDefault="0004592D" w:rsidP="002B3384"/>
    <w:p w14:paraId="2BA29972" w14:textId="17E56E14" w:rsidR="0004592D" w:rsidRDefault="0004592D" w:rsidP="0004592D">
      <w:r>
        <w:t xml:space="preserve">The </w:t>
      </w:r>
      <w:r w:rsidRPr="00012FF0">
        <w:t>quantitative assessment conducted as part of th</w:t>
      </w:r>
      <w:r>
        <w:t>e MEMA</w:t>
      </w:r>
      <w:r w:rsidRPr="00012FF0">
        <w:t xml:space="preserve"> </w:t>
      </w:r>
      <w:r>
        <w:t>project</w:t>
      </w:r>
      <w:r w:rsidRPr="00012FF0">
        <w:t xml:space="preserve"> </w:t>
      </w:r>
      <w:r>
        <w:t xml:space="preserve">reviewed approaches and practices put forward by the Arctic Council in light of recommendations by a variety of other sources, including national </w:t>
      </w:r>
      <w:r w:rsidRPr="001A010C">
        <w:t xml:space="preserve">governments, academics, researchers, Indigenous Peoples, NGOs, and companies. </w:t>
      </w:r>
    </w:p>
    <w:p w14:paraId="7065F3EA" w14:textId="77777777" w:rsidR="0004592D" w:rsidRDefault="0004592D" w:rsidP="002B3384"/>
    <w:p w14:paraId="0E79ECD3" w14:textId="57BCA991" w:rsidR="0062231C" w:rsidRPr="00012FF0" w:rsidRDefault="00FD6DA7" w:rsidP="002B3384">
      <w:r>
        <w:rPr>
          <w:noProof/>
          <w:lang w:val="en-US"/>
        </w:rPr>
        <mc:AlternateContent>
          <mc:Choice Requires="wps">
            <w:drawing>
              <wp:anchor distT="0" distB="0" distL="114300" distR="114300" simplePos="0" relativeHeight="251667456" behindDoc="0" locked="0" layoutInCell="1" allowOverlap="1" wp14:anchorId="26F9F3E8" wp14:editId="5A51DCD9">
                <wp:simplePos x="0" y="0"/>
                <wp:positionH relativeFrom="column">
                  <wp:posOffset>2743200</wp:posOffset>
                </wp:positionH>
                <wp:positionV relativeFrom="paragraph">
                  <wp:posOffset>918845</wp:posOffset>
                </wp:positionV>
                <wp:extent cx="3227070" cy="457200"/>
                <wp:effectExtent l="0" t="0" r="0" b="0"/>
                <wp:wrapSquare wrapText="bothSides"/>
                <wp:docPr id="23" name="Text Box 23"/>
                <wp:cNvGraphicFramePr/>
                <a:graphic xmlns:a="http://schemas.openxmlformats.org/drawingml/2006/main">
                  <a:graphicData uri="http://schemas.microsoft.com/office/word/2010/wordprocessingShape">
                    <wps:wsp>
                      <wps:cNvSpPr txBox="1"/>
                      <wps:spPr>
                        <a:xfrm>
                          <a:off x="0" y="0"/>
                          <a:ext cx="322707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FBA2812" w14:textId="2A279845" w:rsidR="00D43BBB" w:rsidRDefault="00D43BBB" w:rsidP="005225D9">
                            <w:pPr>
                              <w:rPr>
                                <w:rFonts w:asciiTheme="minorHAnsi" w:hAnsiTheme="minorHAnsi"/>
                                <w:sz w:val="20"/>
                                <w:szCs w:val="20"/>
                              </w:rPr>
                            </w:pPr>
                            <w:r w:rsidRPr="006132AA">
                              <w:rPr>
                                <w:rFonts w:asciiTheme="minorHAnsi" w:hAnsiTheme="minorHAnsi"/>
                                <w:sz w:val="20"/>
                                <w:szCs w:val="20"/>
                              </w:rPr>
                              <w:t>Keywords of engagement highlighted by the Arctic Council</w:t>
                            </w:r>
                            <w:r>
                              <w:rPr>
                                <w:rFonts w:asciiTheme="minorHAnsi" w:hAnsiTheme="minorHAnsi"/>
                                <w:sz w:val="20"/>
                                <w:szCs w:val="20"/>
                              </w:rPr>
                              <w:t xml:space="preserve">, </w:t>
                            </w:r>
                          </w:p>
                          <w:p w14:paraId="1F26AF81" w14:textId="49C81D69" w:rsidR="00D43BBB" w:rsidRPr="006132AA" w:rsidRDefault="00D43BBB" w:rsidP="005225D9">
                            <w:pPr>
                              <w:rPr>
                                <w:rFonts w:asciiTheme="minorHAnsi" w:hAnsiTheme="minorHAnsi"/>
                                <w:sz w:val="20"/>
                                <w:szCs w:val="20"/>
                              </w:rPr>
                            </w:pPr>
                            <w:r>
                              <w:rPr>
                                <w:rFonts w:asciiTheme="minorHAnsi" w:hAnsiTheme="minorHAnsi"/>
                                <w:sz w:val="20"/>
                                <w:szCs w:val="20"/>
                              </w:rPr>
                              <w:t>Elizabeth Edmondson</w:t>
                            </w:r>
                          </w:p>
                          <w:p w14:paraId="1C490E3B" w14:textId="77777777" w:rsidR="00D43BBB" w:rsidRDefault="00D43BB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23" o:spid="_x0000_s1029" type="#_x0000_t202" style="position:absolute;margin-left:3in;margin-top:72.35pt;width:254.1pt;height:36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" filled="f" stroked="f">
                <v:textbox>
                  <w:txbxContent>
                    <w:p w14:paraId="3FBA2812" w14:textId="2A279845" w:rsidR="00D43BBB" w:rsidRDefault="00D43BBB" w:rsidP="005225D9">
                      <w:pPr>
                        <w:rPr>
                          <w:rFonts w:asciiTheme="minorHAnsi" w:hAnsiTheme="minorHAnsi"/>
                          <w:sz w:val="20"/>
                          <w:szCs w:val="20"/>
                        </w:rPr>
                      </w:pPr>
                      <w:r w:rsidRPr="006132AA">
                        <w:rPr>
                          <w:rFonts w:asciiTheme="minorHAnsi" w:hAnsiTheme="minorHAnsi"/>
                          <w:sz w:val="20"/>
                          <w:szCs w:val="20"/>
                        </w:rPr>
                        <w:t>Keywords of engagement highlighted by the Arctic Council</w:t>
                      </w:r>
                      <w:r>
                        <w:rPr>
                          <w:rFonts w:asciiTheme="minorHAnsi" w:hAnsiTheme="minorHAnsi"/>
                          <w:sz w:val="20"/>
                          <w:szCs w:val="20"/>
                        </w:rPr>
                        <w:t xml:space="preserve">, </w:t>
                      </w:r>
                    </w:p>
                    <w:p w14:paraId="1F26AF81" w14:textId="49C81D69" w:rsidR="00D43BBB" w:rsidRPr="006132AA" w:rsidRDefault="00D43BBB" w:rsidP="005225D9">
                      <w:pPr>
                        <w:rPr>
                          <w:rFonts w:asciiTheme="minorHAnsi" w:hAnsiTheme="minorHAnsi"/>
                          <w:sz w:val="20"/>
                          <w:szCs w:val="20"/>
                        </w:rPr>
                      </w:pPr>
                      <w:r>
                        <w:rPr>
                          <w:rFonts w:asciiTheme="minorHAnsi" w:hAnsiTheme="minorHAnsi"/>
                          <w:sz w:val="20"/>
                          <w:szCs w:val="20"/>
                        </w:rPr>
                        <w:t>Elizabeth Edmondson</w:t>
                      </w:r>
                    </w:p>
                    <w:p w14:paraId="1C490E3B" w14:textId="77777777" w:rsidR="00D43BBB" w:rsidRDefault="00D43BBB"/>
                  </w:txbxContent>
                </v:textbox>
                <w10:wrap type="square"/>
              </v:shape>
            </w:pict>
          </mc:Fallback>
        </mc:AlternateContent>
      </w:r>
      <w:r w:rsidR="007044AB">
        <w:rPr>
          <w:noProof/>
          <w:lang w:val="en-US"/>
        </w:rPr>
        <w:drawing>
          <wp:anchor distT="0" distB="0" distL="114300" distR="114300" simplePos="0" relativeHeight="251666432" behindDoc="0" locked="0" layoutInCell="1" allowOverlap="1" wp14:anchorId="729F442A" wp14:editId="37822F20">
            <wp:simplePos x="0" y="0"/>
            <wp:positionH relativeFrom="margin">
              <wp:posOffset>2743200</wp:posOffset>
            </wp:positionH>
            <wp:positionV relativeFrom="margin">
              <wp:posOffset>4686300</wp:posOffset>
            </wp:positionV>
            <wp:extent cx="3017520" cy="2171065"/>
            <wp:effectExtent l="0" t="0" r="5080" b="0"/>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017520" cy="2171065"/>
                    </a:xfrm>
                    <a:prstGeom prst="rect">
                      <a:avLst/>
                    </a:prstGeom>
                  </pic:spPr>
                </pic:pic>
              </a:graphicData>
            </a:graphic>
            <wp14:sizeRelH relativeFrom="margin">
              <wp14:pctWidth>0</wp14:pctWidth>
            </wp14:sizeRelH>
            <wp14:sizeRelV relativeFrom="margin">
              <wp14:pctHeight>0</wp14:pctHeight>
            </wp14:sizeRelV>
          </wp:anchor>
        </w:drawing>
      </w:r>
      <w:r w:rsidR="004F20B6">
        <w:t>The assessment</w:t>
      </w:r>
      <w:r w:rsidR="00446B0A" w:rsidRPr="00012FF0">
        <w:t xml:space="preserve"> found that the majority of recommendations</w:t>
      </w:r>
      <w:r w:rsidR="006B402F">
        <w:t xml:space="preserve"> or good practices in </w:t>
      </w:r>
      <w:r w:rsidR="003D758A">
        <w:t xml:space="preserve">engagement with and by </w:t>
      </w:r>
      <w:r w:rsidR="00C95A84">
        <w:t>Indigenous</w:t>
      </w:r>
      <w:r w:rsidR="006B402F">
        <w:t xml:space="preserve"> </w:t>
      </w:r>
      <w:r w:rsidR="003D758A">
        <w:lastRenderedPageBreak/>
        <w:t xml:space="preserve">Peoples fell </w:t>
      </w:r>
      <w:r w:rsidR="00446B0A" w:rsidRPr="00012FF0">
        <w:t>into three broad categories</w:t>
      </w:r>
      <w:r w:rsidR="00E04747">
        <w:t>:</w:t>
      </w:r>
      <w:r w:rsidR="00446B0A" w:rsidRPr="00012FF0">
        <w:t xml:space="preserve"> </w:t>
      </w:r>
      <w:r w:rsidR="0062231C" w:rsidRPr="00012FF0">
        <w:t>relationship building, information sharing, and capacity building.</w:t>
      </w:r>
      <w:r w:rsidRPr="00FD6DA7">
        <w:rPr>
          <w:rStyle w:val="FootnoteReference"/>
        </w:rPr>
        <w:t xml:space="preserve"> </w:t>
      </w:r>
      <w:r>
        <w:rPr>
          <w:rStyle w:val="FootnoteReference"/>
        </w:rPr>
        <w:footnoteReference w:id="439"/>
      </w:r>
      <w:r w:rsidR="0062231C" w:rsidRPr="00012FF0">
        <w:t xml:space="preserve"> With respect to relationship building, the assessment found that the Arctic Council </w:t>
      </w:r>
      <w:r w:rsidR="003B0187">
        <w:t>recommendations emphasized</w:t>
      </w:r>
      <w:r w:rsidR="0062231C" w:rsidRPr="00012FF0">
        <w:t xml:space="preserve"> the need to foster relationships among governments, </w:t>
      </w:r>
      <w:r w:rsidR="00C95A84">
        <w:t>Indigenous</w:t>
      </w:r>
      <w:r w:rsidR="00FC63E1">
        <w:t xml:space="preserve"> Peoples</w:t>
      </w:r>
      <w:r w:rsidR="0062231C" w:rsidRPr="00012FF0">
        <w:t xml:space="preserve"> and organizations, and other parties through consultation, partnerships, and effective communication. In the area of information sharing, the study foun</w:t>
      </w:r>
      <w:r w:rsidR="003B0187">
        <w:t>d that the Arctic Council placed</w:t>
      </w:r>
      <w:r w:rsidR="0062231C" w:rsidRPr="00012FF0">
        <w:t xml:space="preserve"> significant emphasis on the inclusion of </w:t>
      </w:r>
      <w:r w:rsidR="00C95A84">
        <w:t>Indigenous</w:t>
      </w:r>
      <w:r w:rsidR="00FC63E1">
        <w:t xml:space="preserve"> Knowledge</w:t>
      </w:r>
      <w:r w:rsidR="0062231C" w:rsidRPr="00012FF0">
        <w:t xml:space="preserve"> and community-based research.</w:t>
      </w:r>
      <w:r w:rsidR="00DC5864">
        <w:t xml:space="preserve"> </w:t>
      </w:r>
      <w:r w:rsidR="000C69BC">
        <w:t>T</w:t>
      </w:r>
      <w:r w:rsidR="00595C64">
        <w:t xml:space="preserve">he Arctic Council </w:t>
      </w:r>
      <w:r w:rsidR="003D758A">
        <w:t xml:space="preserve">recommendations generally </w:t>
      </w:r>
      <w:r w:rsidR="003B0187">
        <w:t>emphasized</w:t>
      </w:r>
      <w:r w:rsidR="003D758A">
        <w:t xml:space="preserve"> information gathering </w:t>
      </w:r>
      <w:r w:rsidR="003B0187">
        <w:t xml:space="preserve">more </w:t>
      </w:r>
      <w:r w:rsidR="003D758A">
        <w:t>than the recommendations and practices</w:t>
      </w:r>
      <w:r w:rsidR="0095405C">
        <w:t xml:space="preserve"> </w:t>
      </w:r>
      <w:r w:rsidR="003B0187">
        <w:t>from other entities</w:t>
      </w:r>
      <w:r w:rsidR="00595C64">
        <w:t xml:space="preserve">. </w:t>
      </w:r>
      <w:r w:rsidR="0062231C" w:rsidRPr="00012FF0">
        <w:t>The Arctic Council’s recommendations promoting capacity building and benefit sharing focus</w:t>
      </w:r>
      <w:r w:rsidR="003B0187">
        <w:t>ed</w:t>
      </w:r>
      <w:r w:rsidR="0062231C" w:rsidRPr="00012FF0">
        <w:t xml:space="preserve"> on long-term benefits and economic development opportunities.</w:t>
      </w:r>
    </w:p>
    <w:p w14:paraId="221804B9" w14:textId="1AE94DC0" w:rsidR="0062231C" w:rsidRPr="00012FF0" w:rsidRDefault="0062231C" w:rsidP="002B3384"/>
    <w:p w14:paraId="5920BC58" w14:textId="3C5866DA" w:rsidR="00012FF0" w:rsidRDefault="00012FF0" w:rsidP="00690051">
      <w:r>
        <w:t xml:space="preserve">The </w:t>
      </w:r>
      <w:r w:rsidR="003D758A">
        <w:t xml:space="preserve">quantitative </w:t>
      </w:r>
      <w:r>
        <w:t>assessment examined recommendations as they related to different stages of engagement, which involves the issue of timeliness (engaging at higher, stra</w:t>
      </w:r>
      <w:r w:rsidR="00690051">
        <w:t>tegic-level decision-making) as</w:t>
      </w:r>
      <w:r>
        <w:t xml:space="preserve"> well as the issue of ongoing engagement. </w:t>
      </w:r>
      <w:r w:rsidR="005C1155">
        <w:t xml:space="preserve">The Arctic Council’s recommendations with respect to the various stages of engagement were in line with the other sources in many respects. However, as compared to all the </w:t>
      </w:r>
      <w:r w:rsidR="003D758A">
        <w:t>recommendations and practices</w:t>
      </w:r>
      <w:r w:rsidR="005C1155">
        <w:t xml:space="preserve"> reviewed, the</w:t>
      </w:r>
      <w:r w:rsidR="00440094">
        <w:t xml:space="preserve"> assessment found that the</w:t>
      </w:r>
      <w:r w:rsidR="00751D66">
        <w:t xml:space="preserve"> Arctic Council </w:t>
      </w:r>
      <w:r w:rsidR="00707D4F">
        <w:t>recommendations</w:t>
      </w:r>
      <w:r w:rsidR="00440094">
        <w:t xml:space="preserve"> placed</w:t>
      </w:r>
      <w:r w:rsidR="005C1155">
        <w:t xml:space="preserve"> less emphasis on engagement that takes place in advance of applications for development project and </w:t>
      </w:r>
      <w:r w:rsidR="00876C8C">
        <w:t xml:space="preserve">less emphasis </w:t>
      </w:r>
      <w:r w:rsidR="00395DBB">
        <w:t xml:space="preserve">on the need for engagement to be ongoing. </w:t>
      </w:r>
      <w:r w:rsidR="002D27EA">
        <w:t>Yet</w:t>
      </w:r>
      <w:r w:rsidR="009A0CBB">
        <w:t xml:space="preserve">, given the connection between relationship building (which the Arctic Council </w:t>
      </w:r>
      <w:r w:rsidR="00707D4F">
        <w:t>recommendations clearly emphasize</w:t>
      </w:r>
      <w:r w:rsidR="009A0CBB">
        <w:t>) and ongoing engagement, the lower emphasis for ongoing engagement noted in the assessment may be a reflection of how the assessment was structured, rather than a reflection of Arctic Council views of ongoing engagement. In contrast</w:t>
      </w:r>
      <w:r w:rsidR="00395DBB">
        <w:t xml:space="preserve">, </w:t>
      </w:r>
      <w:r w:rsidR="009A0CBB">
        <w:t xml:space="preserve">as compared to all </w:t>
      </w:r>
      <w:r w:rsidR="00156819">
        <w:t>recommendations</w:t>
      </w:r>
      <w:r w:rsidR="009A0CBB">
        <w:t xml:space="preserve"> reviewed, </w:t>
      </w:r>
      <w:r w:rsidR="00395DBB">
        <w:t xml:space="preserve">the </w:t>
      </w:r>
      <w:r w:rsidR="00440094">
        <w:t xml:space="preserve">study found that the </w:t>
      </w:r>
      <w:r w:rsidR="00395DBB">
        <w:t xml:space="preserve">Arctic Council </w:t>
      </w:r>
      <w:r w:rsidR="00707D4F">
        <w:t>recommendations</w:t>
      </w:r>
      <w:r w:rsidR="00395DBB">
        <w:t xml:space="preserve"> placed </w:t>
      </w:r>
      <w:r w:rsidR="005C1155">
        <w:t xml:space="preserve">greater emphasis on monitoring. </w:t>
      </w:r>
    </w:p>
    <w:p w14:paraId="4B232389" w14:textId="77777777" w:rsidR="00CF6862" w:rsidRDefault="00CF6862" w:rsidP="00690051"/>
    <w:p w14:paraId="1E172EB7" w14:textId="697AB97C" w:rsidR="00CF6862" w:rsidRDefault="002E7473" w:rsidP="00690051">
      <w:r>
        <w:t>Dispute resolution about the adequacy of engagement is</w:t>
      </w:r>
      <w:r w:rsidR="00CF6862">
        <w:t xml:space="preserve"> not addressed by this report and </w:t>
      </w:r>
      <w:r>
        <w:t xml:space="preserve">was </w:t>
      </w:r>
      <w:r w:rsidR="00CF6862">
        <w:t xml:space="preserve">not </w:t>
      </w:r>
      <w:r w:rsidR="00031207">
        <w:t>thoroughly</w:t>
      </w:r>
      <w:r w:rsidR="00CF6862">
        <w:t xml:space="preserve"> discussed in the recommendations analyzed by the quantitative asses</w:t>
      </w:r>
      <w:r>
        <w:t xml:space="preserve">sment. The ability for Indigenous Peoples to hold entities accountable for meaningful engagement and to have access to a fair and transparent process for resolving disputes about engagement is an essential aspect of ensuring that engagement is truly meaningful. The issue of </w:t>
      </w:r>
      <w:r w:rsidR="00031207">
        <w:t xml:space="preserve">resolving disputes related to engagement </w:t>
      </w:r>
      <w:r w:rsidR="0000012C">
        <w:t xml:space="preserve">by and </w:t>
      </w:r>
      <w:r w:rsidR="00031207">
        <w:t xml:space="preserve">with Indigenous Peoples </w:t>
      </w:r>
      <w:r w:rsidR="00967BDF">
        <w:t xml:space="preserve">is therefore </w:t>
      </w:r>
      <w:r>
        <w:t>an area that deserves greater investigation and consideration.</w:t>
      </w:r>
    </w:p>
    <w:p w14:paraId="589D7F43" w14:textId="77777777" w:rsidR="00233881" w:rsidRDefault="00233881" w:rsidP="00446B0A"/>
    <w:p w14:paraId="3BBBA1C7" w14:textId="4E33B389" w:rsidR="00012FF0" w:rsidRDefault="005A7184" w:rsidP="00446B0A">
      <w:r>
        <w:t xml:space="preserve">The </w:t>
      </w:r>
      <w:r w:rsidR="0084442B">
        <w:t xml:space="preserve">quantitative </w:t>
      </w:r>
      <w:r>
        <w:t>assessment also looked at good practices as they were reflected in different types of activities taking place in the Arctic</w:t>
      </w:r>
      <w:r w:rsidR="000454B3">
        <w:t xml:space="preserve"> and in adjacent sub-Arctic regions</w:t>
      </w:r>
      <w:r>
        <w:t>. Among the documents reviewed</w:t>
      </w:r>
      <w:r w:rsidR="00312D52">
        <w:t>, a high proportion relate</w:t>
      </w:r>
      <w:r w:rsidR="00A96934">
        <w:t>d</w:t>
      </w:r>
      <w:r w:rsidR="00312D52">
        <w:t xml:space="preserve"> to engagement practices in resource management and development. Very few address</w:t>
      </w:r>
      <w:r w:rsidR="00A96934">
        <w:t>ed</w:t>
      </w:r>
      <w:r w:rsidR="00312D52">
        <w:t xml:space="preserve"> best practices in shipping and tourism. This is likely a reflection of the fact that resource management and development have been taking place for some time, while tourism and shipping are newer activities</w:t>
      </w:r>
      <w:r>
        <w:t xml:space="preserve"> in the Arctic</w:t>
      </w:r>
      <w:r w:rsidR="00312D52">
        <w:t xml:space="preserve">. </w:t>
      </w:r>
      <w:r w:rsidR="0000012C">
        <w:t xml:space="preserve">Future </w:t>
      </w:r>
      <w:r w:rsidR="00312D52">
        <w:t xml:space="preserve">Arctic Council work to </w:t>
      </w:r>
      <w:r w:rsidR="0000012C">
        <w:t>support generally applicable</w:t>
      </w:r>
      <w:r w:rsidR="00312D52">
        <w:t xml:space="preserve"> </w:t>
      </w:r>
      <w:r>
        <w:t xml:space="preserve">good </w:t>
      </w:r>
      <w:r w:rsidR="00312D52">
        <w:t xml:space="preserve">practices </w:t>
      </w:r>
      <w:r w:rsidR="0000012C">
        <w:t xml:space="preserve">for all entities would be particularly beneficial for activities such as these, where there is less guidance. </w:t>
      </w:r>
    </w:p>
    <w:p w14:paraId="42C94DE0" w14:textId="77777777" w:rsidR="00312D52" w:rsidRDefault="00312D52" w:rsidP="00446B0A"/>
    <w:p w14:paraId="2CA2333A" w14:textId="7CEF4CC5" w:rsidR="004F20B6" w:rsidRDefault="001C431E" w:rsidP="00446B0A">
      <w:r>
        <w:t xml:space="preserve">The assessment identified documents according to their authorship. </w:t>
      </w:r>
      <w:r w:rsidR="004F20B6">
        <w:t xml:space="preserve">The greatest </w:t>
      </w:r>
      <w:r>
        <w:t>number of documents came from</w:t>
      </w:r>
      <w:r w:rsidR="004F20B6">
        <w:t xml:space="preserve"> national governments. Relatively few documents were from NGOs, </w:t>
      </w:r>
      <w:r w:rsidR="00C95A84">
        <w:lastRenderedPageBreak/>
        <w:t>Indigenous</w:t>
      </w:r>
      <w:r w:rsidR="00FC63E1">
        <w:t xml:space="preserve"> Peoples</w:t>
      </w:r>
      <w:r w:rsidR="00B30A5A">
        <w:t>, or companies</w:t>
      </w:r>
      <w:r w:rsidR="004F20B6">
        <w:t xml:space="preserve">. </w:t>
      </w:r>
      <w:r>
        <w:t xml:space="preserve">An expanded database including more </w:t>
      </w:r>
      <w:r w:rsidR="002A2915">
        <w:t xml:space="preserve">input from these </w:t>
      </w:r>
      <w:r>
        <w:t xml:space="preserve">sources could </w:t>
      </w:r>
      <w:r w:rsidR="005927F1">
        <w:t>confirm the commonality of</w:t>
      </w:r>
      <w:r>
        <w:t xml:space="preserve"> good practices</w:t>
      </w:r>
      <w:r w:rsidR="005927F1">
        <w:t xml:space="preserve"> across activities and could emphasize new or different perspectives on </w:t>
      </w:r>
      <w:r w:rsidR="00C95A84">
        <w:t>Indigenous</w:t>
      </w:r>
      <w:r w:rsidR="005927F1">
        <w:t xml:space="preserve"> engagement</w:t>
      </w:r>
      <w:r>
        <w:t>.</w:t>
      </w:r>
    </w:p>
    <w:p w14:paraId="14AAD45D" w14:textId="77777777" w:rsidR="006B402F" w:rsidRDefault="006B402F" w:rsidP="00446B0A"/>
    <w:p w14:paraId="316BFD9D" w14:textId="77777777" w:rsidR="009A0CBB" w:rsidRPr="00925B59" w:rsidRDefault="009A0CBB" w:rsidP="00446B0A"/>
    <w:sectPr w:rsidR="009A0CBB" w:rsidRPr="00925B59" w:rsidSect="005C2046">
      <w:footerReference w:type="even" r:id="rId16"/>
      <w:footerReference w:type="default" r:id="rId17"/>
      <w:pgSz w:w="12240" w:h="15840"/>
      <w:pgMar w:top="1440" w:right="1440" w:bottom="1440" w:left="1440" w:header="708" w:footer="708" w:gutter="0"/>
      <w:cols w:space="708"/>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70568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46E2AB" w14:textId="77777777" w:rsidR="00D43BBB" w:rsidRDefault="00D43BBB" w:rsidP="00B50427">
      <w:r>
        <w:separator/>
      </w:r>
    </w:p>
  </w:endnote>
  <w:endnote w:type="continuationSeparator" w:id="0">
    <w:p w14:paraId="14DEC549" w14:textId="77777777" w:rsidR="00D43BBB" w:rsidRDefault="00D43BBB" w:rsidP="00B50427">
      <w:r>
        <w:continuationSeparator/>
      </w:r>
    </w:p>
  </w:endnote>
  <w:endnote w:type="continuationNotice" w:id="1">
    <w:p w14:paraId="5E2DE98B" w14:textId="77777777" w:rsidR="00D43BBB" w:rsidRDefault="00D43B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Meta Plus Normal">
    <w:altName w:val="Meta Plus Norm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FACDC" w14:textId="77777777" w:rsidR="00D43BBB" w:rsidRDefault="00D43BBB" w:rsidP="00C95C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AB7A85" w14:textId="77777777" w:rsidR="00D43BBB" w:rsidRDefault="00D43BBB" w:rsidP="005C2046">
    <w:pPr>
      <w:pStyle w:val="Footer"/>
      <w:ind w:right="360"/>
    </w:pPr>
  </w:p>
  <w:p w14:paraId="6A70CDAF" w14:textId="77777777" w:rsidR="00D43BBB" w:rsidRDefault="00D43BB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F7178" w14:textId="77777777" w:rsidR="00D43BBB" w:rsidRDefault="00D43BBB" w:rsidP="00C95C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5303">
      <w:rPr>
        <w:rStyle w:val="PageNumber"/>
        <w:noProof/>
      </w:rPr>
      <w:t>6</w:t>
    </w:r>
    <w:r>
      <w:rPr>
        <w:rStyle w:val="PageNumber"/>
      </w:rPr>
      <w:fldChar w:fldCharType="end"/>
    </w:r>
  </w:p>
  <w:p w14:paraId="39881908" w14:textId="4F847957" w:rsidR="00D43BBB" w:rsidRDefault="00D43BBB" w:rsidP="005C2046">
    <w:pPr>
      <w:pStyle w:val="Footer"/>
      <w:ind w:right="360"/>
    </w:pPr>
    <w:r>
      <w:t xml:space="preserve">DRAFT </w:t>
    </w:r>
    <w:r w:rsidR="00D117FF">
      <w:t>Sept</w:t>
    </w:r>
    <w:proofErr w:type="gramStart"/>
    <w:r w:rsidR="00D117FF">
      <w:t>.</w:t>
    </w:r>
    <w:r>
      <w:t>.</w:t>
    </w:r>
    <w:proofErr w:type="gramEnd"/>
    <w:r>
      <w:t xml:space="preserve"> 2, 2016</w:t>
    </w:r>
  </w:p>
  <w:p w14:paraId="3F6328C2" w14:textId="41421555" w:rsidR="00D43BBB" w:rsidRDefault="00D43BB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446E96" w14:textId="77777777" w:rsidR="00D43BBB" w:rsidRDefault="00D43BBB" w:rsidP="00B50427">
      <w:r>
        <w:separator/>
      </w:r>
    </w:p>
  </w:footnote>
  <w:footnote w:type="continuationSeparator" w:id="0">
    <w:p w14:paraId="61A1AAA8" w14:textId="77777777" w:rsidR="00D43BBB" w:rsidRDefault="00D43BBB" w:rsidP="00B50427">
      <w:r>
        <w:continuationSeparator/>
      </w:r>
    </w:p>
  </w:footnote>
  <w:footnote w:type="continuationNotice" w:id="1">
    <w:p w14:paraId="2E2424BB" w14:textId="77777777" w:rsidR="00D43BBB" w:rsidRDefault="00D43BBB"/>
  </w:footnote>
  <w:footnote w:id="2">
    <w:p w14:paraId="5AEF80D8" w14:textId="77777777" w:rsidR="00D43BBB" w:rsidRPr="00A04969" w:rsidRDefault="00D43BBB" w:rsidP="002420B7">
      <w:pPr>
        <w:widowControl w:val="0"/>
        <w:autoSpaceDE w:val="0"/>
        <w:autoSpaceDN w:val="0"/>
        <w:adjustRightInd w:val="0"/>
        <w:rPr>
          <w:color w:val="343434"/>
          <w:sz w:val="20"/>
          <w:szCs w:val="20"/>
        </w:rPr>
      </w:pPr>
      <w:r w:rsidRPr="00A04969">
        <w:rPr>
          <w:rStyle w:val="FootnoteReference"/>
          <w:sz w:val="20"/>
          <w:szCs w:val="20"/>
        </w:rPr>
        <w:footnoteRef/>
      </w:r>
      <w:r w:rsidRPr="00A04969">
        <w:rPr>
          <w:sz w:val="20"/>
          <w:szCs w:val="20"/>
        </w:rPr>
        <w:t xml:space="preserve"> There are various definitions of “Indigenous Peoples.” The Indigenous and Tribal Peoples Convention, 1989 refers to indigenous peoples as those who “on account of their descent from the populations which inhabited the country, or a geographical region to which the country belongs, at the time of conquest or colonisation or the establishment of present State boundaries and who, irrespective of their legal status, retain some or all of their own social, economic, cultural and political institutions.” </w:t>
      </w:r>
      <w:proofErr w:type="gramStart"/>
      <w:r w:rsidRPr="00A04969">
        <w:rPr>
          <w:sz w:val="20"/>
          <w:szCs w:val="20"/>
        </w:rPr>
        <w:t>International Labour Organization Convention No. 169.</w:t>
      </w:r>
      <w:proofErr w:type="gramEnd"/>
      <w:r w:rsidRPr="00A04969">
        <w:rPr>
          <w:sz w:val="20"/>
          <w:szCs w:val="20"/>
        </w:rPr>
        <w:t xml:space="preserve"> </w:t>
      </w:r>
      <w:proofErr w:type="gramStart"/>
      <w:r w:rsidRPr="00A04969">
        <w:rPr>
          <w:sz w:val="20"/>
          <w:szCs w:val="20"/>
        </w:rPr>
        <w:t>72 ILO Official Bull.</w:t>
      </w:r>
      <w:proofErr w:type="gramEnd"/>
      <w:r w:rsidRPr="00A04969">
        <w:rPr>
          <w:sz w:val="20"/>
          <w:szCs w:val="20"/>
        </w:rPr>
        <w:t xml:space="preserve"> </w:t>
      </w:r>
      <w:proofErr w:type="gramStart"/>
      <w:r w:rsidRPr="00A04969">
        <w:rPr>
          <w:sz w:val="20"/>
          <w:szCs w:val="20"/>
        </w:rPr>
        <w:t>59; 28 ILM 1382 (1989) [hereinafter ILO No. 169].</w:t>
      </w:r>
      <w:proofErr w:type="gramEnd"/>
      <w:r w:rsidRPr="00A04969">
        <w:rPr>
          <w:sz w:val="20"/>
          <w:szCs w:val="20"/>
        </w:rPr>
        <w:t xml:space="preserve"> </w:t>
      </w:r>
    </w:p>
  </w:footnote>
  <w:footnote w:id="3">
    <w:p w14:paraId="672B48DD" w14:textId="57AF23DA"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r w:rsidRPr="00A04969">
        <w:rPr>
          <w:rFonts w:ascii="Times New Roman" w:hAnsi="Times New Roman" w:cs="Times New Roman"/>
          <w:i/>
          <w:sz w:val="20"/>
          <w:szCs w:val="20"/>
        </w:rPr>
        <w:t>See, e.g.,</w:t>
      </w:r>
      <w:r w:rsidRPr="00A04969">
        <w:rPr>
          <w:rFonts w:ascii="Times New Roman" w:hAnsi="Times New Roman" w:cs="Times New Roman"/>
          <w:sz w:val="20"/>
          <w:szCs w:val="20"/>
        </w:rPr>
        <w:t xml:space="preserve"> Bartley, K., et al, </w:t>
      </w:r>
      <w:r w:rsidRPr="00A04969">
        <w:rPr>
          <w:rFonts w:ascii="Times New Roman" w:hAnsi="Times New Roman" w:cs="Times New Roman"/>
          <w:bCs/>
          <w:sz w:val="20"/>
          <w:szCs w:val="20"/>
        </w:rPr>
        <w:t xml:space="preserve">Understanding and Improving Collaborative Management of Fish and Wildlife in Western Alaska, </w:t>
      </w:r>
      <w:r w:rsidRPr="00A04969">
        <w:rPr>
          <w:rFonts w:ascii="Times New Roman" w:hAnsi="Times New Roman" w:cs="Times New Roman"/>
          <w:sz w:val="20"/>
          <w:szCs w:val="20"/>
        </w:rPr>
        <w:t>Submitted to the U.S. Fish and Wildlife Service, Office of Subsistence Management (Sept. 2014).</w:t>
      </w:r>
    </w:p>
  </w:footnote>
  <w:footnote w:id="4">
    <w:p w14:paraId="79D9C52A" w14:textId="5F1A0110" w:rsidR="00D43BBB" w:rsidRPr="00A04969" w:rsidRDefault="00D43BBB" w:rsidP="002420B7">
      <w:pPr>
        <w:widowControl w:val="0"/>
        <w:autoSpaceDE w:val="0"/>
        <w:autoSpaceDN w:val="0"/>
        <w:adjustRightInd w:val="0"/>
        <w:rPr>
          <w:sz w:val="20"/>
          <w:szCs w:val="20"/>
          <w:lang w:val="en-US"/>
        </w:rPr>
      </w:pPr>
      <w:r w:rsidRPr="00A04969">
        <w:rPr>
          <w:rStyle w:val="FootnoteReference"/>
          <w:sz w:val="20"/>
          <w:szCs w:val="20"/>
        </w:rPr>
        <w:footnoteRef/>
      </w:r>
      <w:r w:rsidRPr="00A04969">
        <w:rPr>
          <w:sz w:val="20"/>
          <w:szCs w:val="20"/>
        </w:rPr>
        <w:t xml:space="preserve"> </w:t>
      </w:r>
      <w:r w:rsidRPr="00A04969">
        <w:rPr>
          <w:sz w:val="20"/>
          <w:szCs w:val="20"/>
          <w:lang w:val="en-US"/>
        </w:rPr>
        <w:t xml:space="preserve">Trust can be understood as the perception of shared values, direction, goals, perspectives, and beliefs. </w:t>
      </w:r>
      <w:proofErr w:type="gramStart"/>
      <w:r w:rsidRPr="00A04969">
        <w:rPr>
          <w:sz w:val="20"/>
          <w:szCs w:val="20"/>
        </w:rPr>
        <w:t xml:space="preserve">Brooks, J. et al, </w:t>
      </w:r>
      <w:r w:rsidRPr="00A04969">
        <w:rPr>
          <w:i/>
          <w:sz w:val="20"/>
          <w:szCs w:val="20"/>
        </w:rPr>
        <w:t>Relationship-Scale Conservation</w:t>
      </w:r>
      <w:r w:rsidRPr="00A04969">
        <w:rPr>
          <w:sz w:val="20"/>
          <w:szCs w:val="20"/>
        </w:rPr>
        <w:t xml:space="preserve">, </w:t>
      </w:r>
      <w:r w:rsidRPr="00A04969">
        <w:rPr>
          <w:sz w:val="20"/>
          <w:szCs w:val="20"/>
          <w:lang w:val="en-US"/>
        </w:rPr>
        <w:t>39(1) Wildlife Society Bulletin 147–158 (2015).</w:t>
      </w:r>
      <w:proofErr w:type="gramEnd"/>
    </w:p>
  </w:footnote>
  <w:footnote w:id="5">
    <w:p w14:paraId="640A94E2" w14:textId="6FB5198D" w:rsidR="00D43BBB" w:rsidRPr="00A04969" w:rsidRDefault="00D43BBB" w:rsidP="002420B7">
      <w:pPr>
        <w:widowControl w:val="0"/>
        <w:autoSpaceDE w:val="0"/>
        <w:autoSpaceDN w:val="0"/>
        <w:adjustRightInd w:val="0"/>
        <w:rPr>
          <w:sz w:val="20"/>
          <w:szCs w:val="20"/>
          <w:lang w:val="en-US"/>
        </w:rPr>
      </w:pPr>
      <w:r w:rsidRPr="00A04969">
        <w:rPr>
          <w:rStyle w:val="FootnoteReference"/>
          <w:sz w:val="20"/>
          <w:szCs w:val="20"/>
        </w:rPr>
        <w:footnoteRef/>
      </w:r>
      <w:r w:rsidRPr="00A04969">
        <w:rPr>
          <w:sz w:val="20"/>
          <w:szCs w:val="20"/>
        </w:rPr>
        <w:t xml:space="preserve"> Jacobs and Brooks, </w:t>
      </w:r>
      <w:r w:rsidRPr="00A04969">
        <w:rPr>
          <w:color w:val="000000"/>
          <w:sz w:val="20"/>
          <w:szCs w:val="20"/>
        </w:rPr>
        <w:t xml:space="preserve">Alaska Native Peoples and Conservation Planning: A Recipe for Meaningful Participation, 2 </w:t>
      </w:r>
      <w:r w:rsidRPr="00A04969">
        <w:rPr>
          <w:sz w:val="20"/>
          <w:szCs w:val="20"/>
          <w:lang w:val="en-US"/>
        </w:rPr>
        <w:t>Native Studies Review 20, no. 2, 91-135 (2011).</w:t>
      </w:r>
    </w:p>
  </w:footnote>
  <w:footnote w:id="6">
    <w:p w14:paraId="1BF60DA1" w14:textId="551D273C" w:rsidR="00D43BBB" w:rsidRPr="00A04969" w:rsidRDefault="00D43BBB">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r w:rsidRPr="00A04969">
        <w:rPr>
          <w:rFonts w:ascii="Times New Roman" w:hAnsi="Times New Roman" w:cs="Times New Roman"/>
          <w:i/>
          <w:sz w:val="20"/>
          <w:szCs w:val="20"/>
        </w:rPr>
        <w:t>Id.</w:t>
      </w:r>
      <w:r w:rsidRPr="00A04969">
        <w:rPr>
          <w:rFonts w:ascii="Times New Roman" w:hAnsi="Times New Roman" w:cs="Times New Roman"/>
          <w:sz w:val="20"/>
          <w:szCs w:val="20"/>
        </w:rPr>
        <w:t xml:space="preserve"> </w:t>
      </w:r>
    </w:p>
  </w:footnote>
  <w:footnote w:id="7">
    <w:p w14:paraId="6A42738A" w14:textId="077AD77C"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proofErr w:type="gramStart"/>
      <w:r w:rsidRPr="00A04969">
        <w:rPr>
          <w:rFonts w:ascii="Times New Roman" w:hAnsi="Times New Roman" w:cs="Times New Roman"/>
          <w:sz w:val="20"/>
          <w:szCs w:val="20"/>
        </w:rPr>
        <w:t>Indigenous and Northern Affairs Canada.</w:t>
      </w:r>
      <w:proofErr w:type="gramEnd"/>
      <w:r w:rsidRPr="00A04969">
        <w:rPr>
          <w:rFonts w:ascii="Times New Roman" w:hAnsi="Times New Roman" w:cs="Times New Roman"/>
          <w:sz w:val="20"/>
          <w:szCs w:val="20"/>
        </w:rPr>
        <w:t xml:space="preserve"> </w:t>
      </w:r>
      <w:r w:rsidRPr="00A04969">
        <w:rPr>
          <w:rFonts w:ascii="Times New Roman" w:hAnsi="Times New Roman" w:cs="Times New Roman"/>
          <w:bCs/>
          <w:position w:val="2"/>
          <w:sz w:val="20"/>
          <w:szCs w:val="20"/>
        </w:rPr>
        <w:t>Summary</w:t>
      </w:r>
      <w:r w:rsidRPr="00A04969">
        <w:rPr>
          <w:rFonts w:ascii="Times New Roman" w:hAnsi="Times New Roman" w:cs="Times New Roman"/>
          <w:bCs/>
          <w:color w:val="FFFFFF"/>
          <w:sz w:val="20"/>
          <w:szCs w:val="20"/>
        </w:rPr>
        <w:t xml:space="preserve"> </w:t>
      </w:r>
      <w:r w:rsidRPr="00A04969">
        <w:rPr>
          <w:rFonts w:ascii="Times New Roman" w:hAnsi="Times New Roman" w:cs="Times New Roman"/>
          <w:bCs/>
          <w:position w:val="2"/>
          <w:sz w:val="20"/>
          <w:szCs w:val="20"/>
        </w:rPr>
        <w:t>of</w:t>
      </w:r>
      <w:r w:rsidRPr="00A04969">
        <w:rPr>
          <w:rFonts w:ascii="Times New Roman" w:hAnsi="Times New Roman" w:cs="Times New Roman"/>
          <w:bCs/>
          <w:color w:val="FFFFFF"/>
          <w:sz w:val="20"/>
          <w:szCs w:val="20"/>
        </w:rPr>
        <w:t xml:space="preserve"> </w:t>
      </w:r>
      <w:r w:rsidRPr="00A04969">
        <w:rPr>
          <w:rFonts w:ascii="Times New Roman" w:hAnsi="Times New Roman" w:cs="Times New Roman"/>
          <w:bCs/>
          <w:position w:val="2"/>
          <w:sz w:val="20"/>
          <w:szCs w:val="20"/>
        </w:rPr>
        <w:t>Input</w:t>
      </w:r>
      <w:r w:rsidRPr="00A04969">
        <w:rPr>
          <w:rFonts w:ascii="Times New Roman" w:hAnsi="Times New Roman" w:cs="Times New Roman"/>
          <w:bCs/>
          <w:color w:val="FFFFFF"/>
          <w:sz w:val="20"/>
          <w:szCs w:val="20"/>
        </w:rPr>
        <w:t xml:space="preserve"> </w:t>
      </w:r>
      <w:r w:rsidRPr="00A04969">
        <w:rPr>
          <w:rFonts w:ascii="Times New Roman" w:hAnsi="Times New Roman" w:cs="Times New Roman"/>
          <w:bCs/>
          <w:position w:val="2"/>
          <w:sz w:val="20"/>
          <w:szCs w:val="20"/>
        </w:rPr>
        <w:t>from</w:t>
      </w:r>
      <w:r w:rsidRPr="00A04969">
        <w:rPr>
          <w:rFonts w:ascii="Times New Roman" w:hAnsi="Times New Roman" w:cs="Times New Roman"/>
          <w:bCs/>
          <w:color w:val="FFFFFF"/>
          <w:sz w:val="20"/>
          <w:szCs w:val="20"/>
        </w:rPr>
        <w:t xml:space="preserve"> </w:t>
      </w:r>
      <w:r w:rsidRPr="00A04969">
        <w:rPr>
          <w:rFonts w:ascii="Times New Roman" w:hAnsi="Times New Roman" w:cs="Times New Roman"/>
          <w:bCs/>
          <w:position w:val="2"/>
          <w:sz w:val="20"/>
          <w:szCs w:val="20"/>
        </w:rPr>
        <w:t>Aboriginal</w:t>
      </w:r>
      <w:r w:rsidRPr="00A04969">
        <w:rPr>
          <w:rFonts w:ascii="Times New Roman" w:hAnsi="Times New Roman" w:cs="Times New Roman"/>
          <w:bCs/>
          <w:color w:val="FFFFFF"/>
          <w:sz w:val="20"/>
          <w:szCs w:val="20"/>
        </w:rPr>
        <w:t xml:space="preserve"> </w:t>
      </w:r>
      <w:r w:rsidRPr="00A04969">
        <w:rPr>
          <w:rFonts w:ascii="Times New Roman" w:hAnsi="Times New Roman" w:cs="Times New Roman"/>
          <w:bCs/>
          <w:position w:val="2"/>
          <w:sz w:val="20"/>
          <w:szCs w:val="20"/>
        </w:rPr>
        <w:t>Communities</w:t>
      </w:r>
      <w:r w:rsidRPr="00A04969">
        <w:rPr>
          <w:rFonts w:ascii="Times New Roman" w:hAnsi="Times New Roman" w:cs="Times New Roman"/>
          <w:bCs/>
          <w:color w:val="FFFFFF"/>
          <w:sz w:val="20"/>
          <w:szCs w:val="20"/>
        </w:rPr>
        <w:t xml:space="preserve"> </w:t>
      </w:r>
      <w:r w:rsidRPr="00A04969">
        <w:rPr>
          <w:rFonts w:ascii="Times New Roman" w:hAnsi="Times New Roman" w:cs="Times New Roman"/>
          <w:bCs/>
          <w:position w:val="2"/>
          <w:sz w:val="20"/>
          <w:szCs w:val="20"/>
        </w:rPr>
        <w:t>and</w:t>
      </w:r>
      <w:r w:rsidRPr="00A04969">
        <w:rPr>
          <w:rFonts w:ascii="Times New Roman" w:hAnsi="Times New Roman" w:cs="Times New Roman"/>
          <w:bCs/>
          <w:color w:val="FFFFFF"/>
          <w:sz w:val="20"/>
          <w:szCs w:val="20"/>
        </w:rPr>
        <w:t xml:space="preserve"> </w:t>
      </w:r>
      <w:r w:rsidRPr="00A04969">
        <w:rPr>
          <w:rFonts w:ascii="Times New Roman" w:hAnsi="Times New Roman" w:cs="Times New Roman"/>
          <w:bCs/>
          <w:position w:val="2"/>
          <w:sz w:val="20"/>
          <w:szCs w:val="20"/>
        </w:rPr>
        <w:t>Organizations</w:t>
      </w:r>
      <w:r w:rsidRPr="00A04969">
        <w:rPr>
          <w:rFonts w:ascii="Times New Roman" w:hAnsi="Times New Roman" w:cs="Times New Roman"/>
          <w:bCs/>
          <w:color w:val="FFFFFF"/>
          <w:sz w:val="20"/>
          <w:szCs w:val="20"/>
        </w:rPr>
        <w:t xml:space="preserve"> </w:t>
      </w:r>
      <w:r w:rsidRPr="00A04969">
        <w:rPr>
          <w:rFonts w:ascii="Times New Roman" w:hAnsi="Times New Roman" w:cs="Times New Roman"/>
          <w:bCs/>
          <w:position w:val="2"/>
          <w:sz w:val="20"/>
          <w:szCs w:val="20"/>
        </w:rPr>
        <w:t>on Consultation</w:t>
      </w:r>
      <w:r w:rsidRPr="00A04969">
        <w:rPr>
          <w:rFonts w:ascii="Times New Roman" w:hAnsi="Times New Roman" w:cs="Times New Roman"/>
          <w:bCs/>
          <w:color w:val="FFFFFF"/>
          <w:sz w:val="20"/>
          <w:szCs w:val="20"/>
        </w:rPr>
        <w:t xml:space="preserve"> </w:t>
      </w:r>
      <w:r w:rsidRPr="00A04969">
        <w:rPr>
          <w:rFonts w:ascii="Times New Roman" w:hAnsi="Times New Roman" w:cs="Times New Roman"/>
          <w:bCs/>
          <w:position w:val="2"/>
          <w:sz w:val="20"/>
          <w:szCs w:val="20"/>
        </w:rPr>
        <w:t>and</w:t>
      </w:r>
      <w:r w:rsidRPr="00A04969">
        <w:rPr>
          <w:rFonts w:ascii="Times New Roman" w:hAnsi="Times New Roman" w:cs="Times New Roman"/>
          <w:bCs/>
          <w:color w:val="FFFFFF"/>
          <w:sz w:val="20"/>
          <w:szCs w:val="20"/>
        </w:rPr>
        <w:t xml:space="preserve"> </w:t>
      </w:r>
      <w:r w:rsidRPr="00A04969">
        <w:rPr>
          <w:rFonts w:ascii="Times New Roman" w:hAnsi="Times New Roman" w:cs="Times New Roman"/>
          <w:bCs/>
          <w:position w:val="2"/>
          <w:sz w:val="20"/>
          <w:szCs w:val="20"/>
        </w:rPr>
        <w:t>Accommodation (August 2010) [hereinafter INAC Aboriginal Input].</w:t>
      </w:r>
    </w:p>
  </w:footnote>
  <w:footnote w:id="8">
    <w:p w14:paraId="4F82FE3F" w14:textId="1535558D"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Exec. Order 13175, 65 Fed. Reg. 67249 (Nov. 9, 2000) [hereinafter Exec. </w:t>
      </w:r>
      <w:proofErr w:type="gramStart"/>
      <w:r w:rsidRPr="00A04969">
        <w:rPr>
          <w:rFonts w:ascii="Times New Roman" w:hAnsi="Times New Roman" w:cs="Times New Roman"/>
          <w:sz w:val="20"/>
          <w:szCs w:val="20"/>
        </w:rPr>
        <w:t>Order 13175].</w:t>
      </w:r>
      <w:proofErr w:type="gramEnd"/>
    </w:p>
  </w:footnote>
  <w:footnote w:id="9">
    <w:p w14:paraId="6F608FD3" w14:textId="48442795" w:rsidR="00D43BBB" w:rsidRPr="00A04969" w:rsidRDefault="00D43BBB" w:rsidP="002420B7">
      <w:pPr>
        <w:widowControl w:val="0"/>
        <w:autoSpaceDE w:val="0"/>
        <w:autoSpaceDN w:val="0"/>
        <w:adjustRightInd w:val="0"/>
        <w:rPr>
          <w:sz w:val="20"/>
          <w:szCs w:val="20"/>
        </w:rPr>
      </w:pPr>
      <w:r w:rsidRPr="00A04969">
        <w:rPr>
          <w:rStyle w:val="FootnoteReference"/>
          <w:sz w:val="20"/>
          <w:szCs w:val="20"/>
        </w:rPr>
        <w:footnoteRef/>
      </w:r>
      <w:r w:rsidRPr="00A04969">
        <w:rPr>
          <w:sz w:val="20"/>
          <w:szCs w:val="20"/>
        </w:rPr>
        <w:t xml:space="preserve"> </w:t>
      </w:r>
      <w:r w:rsidRPr="00A04969">
        <w:rPr>
          <w:i/>
          <w:sz w:val="20"/>
          <w:szCs w:val="20"/>
        </w:rPr>
        <w:t>Id.,</w:t>
      </w:r>
      <w:r w:rsidRPr="00A04969">
        <w:rPr>
          <w:sz w:val="20"/>
          <w:szCs w:val="20"/>
        </w:rPr>
        <w:t xml:space="preserve"> U.N. Office of the High Comm’r for Human Rights, The Corporate Responsibility to Respect Human Rights, HR/PUB/12/02 (2012) at 8 [hereinafter The Corporate Responsibility to Respect Human Rights].</w:t>
      </w:r>
    </w:p>
  </w:footnote>
  <w:footnote w:id="10">
    <w:p w14:paraId="72129AD2" w14:textId="77777777"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r w:rsidRPr="00A04969">
        <w:rPr>
          <w:rFonts w:ascii="Times New Roman" w:hAnsi="Times New Roman" w:cs="Times New Roman"/>
          <w:sz w:val="20"/>
          <w:szCs w:val="20"/>
          <w:lang w:eastAsia="en-PH"/>
        </w:rPr>
        <w:t xml:space="preserve">Declaration on the Rights of Indigenous Peoples, G.A. Res. 61/295, U.N. GAOR, 61st Sess., U.N. Doc. </w:t>
      </w:r>
      <w:proofErr w:type="gramStart"/>
      <w:r w:rsidRPr="00A04969">
        <w:rPr>
          <w:rFonts w:ascii="Times New Roman" w:hAnsi="Times New Roman" w:cs="Times New Roman"/>
          <w:sz w:val="20"/>
          <w:szCs w:val="20"/>
          <w:lang w:eastAsia="en-PH"/>
        </w:rPr>
        <w:t>A/RES/61/295 (2007) [hereinafter UNDRIP].</w:t>
      </w:r>
      <w:proofErr w:type="gramEnd"/>
    </w:p>
  </w:footnote>
  <w:footnote w:id="11">
    <w:p w14:paraId="0DC82DEF" w14:textId="030C3549" w:rsidR="00D43BBB" w:rsidRPr="00A04969" w:rsidRDefault="00D43BBB" w:rsidP="002420B7">
      <w:pPr>
        <w:widowControl w:val="0"/>
        <w:autoSpaceDE w:val="0"/>
        <w:autoSpaceDN w:val="0"/>
        <w:adjustRightInd w:val="0"/>
        <w:rPr>
          <w:sz w:val="20"/>
          <w:szCs w:val="20"/>
        </w:rPr>
      </w:pPr>
      <w:r w:rsidRPr="00A04969">
        <w:rPr>
          <w:rStyle w:val="FootnoteReference"/>
          <w:sz w:val="20"/>
          <w:szCs w:val="20"/>
        </w:rPr>
        <w:footnoteRef/>
      </w:r>
      <w:r w:rsidRPr="00A04969">
        <w:rPr>
          <w:sz w:val="20"/>
          <w:szCs w:val="20"/>
        </w:rPr>
        <w:t xml:space="preserve"> </w:t>
      </w:r>
      <w:proofErr w:type="gramStart"/>
      <w:r w:rsidRPr="00A04969">
        <w:rPr>
          <w:bCs/>
          <w:position w:val="2"/>
          <w:sz w:val="20"/>
          <w:szCs w:val="20"/>
        </w:rPr>
        <w:t xml:space="preserve">INAC Aboriginal Input, </w:t>
      </w:r>
      <w:r w:rsidRPr="00A04969">
        <w:rPr>
          <w:bCs/>
          <w:i/>
          <w:position w:val="2"/>
          <w:sz w:val="20"/>
          <w:szCs w:val="20"/>
        </w:rPr>
        <w:t xml:space="preserve">supra </w:t>
      </w:r>
      <w:r w:rsidRPr="00A04969">
        <w:rPr>
          <w:bCs/>
          <w:position w:val="2"/>
          <w:sz w:val="20"/>
          <w:szCs w:val="20"/>
        </w:rPr>
        <w:t xml:space="preserve">n. </w:t>
      </w:r>
      <w:r w:rsidRPr="00A04969">
        <w:rPr>
          <w:bCs/>
          <w:position w:val="2"/>
          <w:sz w:val="20"/>
          <w:szCs w:val="20"/>
        </w:rPr>
        <w:fldChar w:fldCharType="begin"/>
      </w:r>
      <w:r w:rsidRPr="00A04969">
        <w:rPr>
          <w:bCs/>
          <w:position w:val="2"/>
          <w:sz w:val="20"/>
          <w:szCs w:val="20"/>
        </w:rPr>
        <w:instrText xml:space="preserve"> NOTEREF _Ref333995682 \h </w:instrText>
      </w:r>
      <w:r w:rsidRPr="00A04969">
        <w:rPr>
          <w:bCs/>
          <w:position w:val="2"/>
          <w:sz w:val="20"/>
          <w:szCs w:val="20"/>
        </w:rPr>
      </w:r>
      <w:r w:rsidRPr="00A04969">
        <w:rPr>
          <w:bCs/>
          <w:position w:val="2"/>
          <w:sz w:val="20"/>
          <w:szCs w:val="20"/>
        </w:rPr>
        <w:fldChar w:fldCharType="separate"/>
      </w:r>
      <w:r>
        <w:rPr>
          <w:bCs/>
          <w:position w:val="2"/>
          <w:sz w:val="20"/>
          <w:szCs w:val="20"/>
        </w:rPr>
        <w:t>6</w:t>
      </w:r>
      <w:r w:rsidRPr="00A04969">
        <w:rPr>
          <w:bCs/>
          <w:position w:val="2"/>
          <w:sz w:val="20"/>
          <w:szCs w:val="20"/>
        </w:rPr>
        <w:fldChar w:fldCharType="end"/>
      </w:r>
      <w:r w:rsidRPr="00A04969">
        <w:rPr>
          <w:bCs/>
          <w:position w:val="2"/>
          <w:sz w:val="20"/>
          <w:szCs w:val="20"/>
        </w:rPr>
        <w:t>.</w:t>
      </w:r>
      <w:proofErr w:type="gramEnd"/>
    </w:p>
  </w:footnote>
  <w:footnote w:id="12">
    <w:p w14:paraId="5396CF5D" w14:textId="77777777"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r w:rsidRPr="00A04969">
        <w:rPr>
          <w:rFonts w:ascii="Times New Roman" w:hAnsi="Times New Roman" w:cs="Times New Roman"/>
          <w:color w:val="1A1A1A"/>
          <w:sz w:val="20"/>
          <w:szCs w:val="20"/>
        </w:rPr>
        <w:t xml:space="preserve">United Nations. </w:t>
      </w:r>
      <w:r w:rsidRPr="00A04969">
        <w:rPr>
          <w:rFonts w:ascii="Times New Roman" w:hAnsi="Times New Roman" w:cs="Times New Roman"/>
          <w:iCs/>
          <w:color w:val="1A1A1A"/>
          <w:sz w:val="20"/>
          <w:szCs w:val="20"/>
        </w:rPr>
        <w:t xml:space="preserve">Guiding Principles on Business and Human Rights: Implementing the United Nations “Protect, Respect and Remedy” Framework </w:t>
      </w:r>
      <w:r w:rsidRPr="00A04969">
        <w:rPr>
          <w:rFonts w:ascii="Times New Roman" w:hAnsi="Times New Roman" w:cs="Times New Roman"/>
          <w:sz w:val="20"/>
          <w:szCs w:val="20"/>
        </w:rPr>
        <w:t>¶ 18(b)</w:t>
      </w:r>
      <w:r w:rsidRPr="00A04969">
        <w:rPr>
          <w:rFonts w:ascii="Times New Roman" w:hAnsi="Times New Roman" w:cs="Times New Roman"/>
          <w:iCs/>
          <w:color w:val="1A1A1A"/>
          <w:sz w:val="20"/>
          <w:szCs w:val="20"/>
        </w:rPr>
        <w:t xml:space="preserve"> (2011)</w:t>
      </w:r>
      <w:r w:rsidRPr="00A04969">
        <w:rPr>
          <w:rFonts w:ascii="Times New Roman" w:hAnsi="Times New Roman" w:cs="Times New Roman"/>
          <w:color w:val="1A1A1A"/>
          <w:sz w:val="20"/>
          <w:szCs w:val="20"/>
        </w:rPr>
        <w:t xml:space="preserve"> [hereinafter Guiding Principles].</w:t>
      </w:r>
    </w:p>
  </w:footnote>
  <w:footnote w:id="13">
    <w:p w14:paraId="076170C5" w14:textId="5825ED4A" w:rsidR="00D43BBB" w:rsidRPr="00A04969" w:rsidRDefault="00D43BBB" w:rsidP="002420B7">
      <w:pPr>
        <w:widowControl w:val="0"/>
        <w:autoSpaceDE w:val="0"/>
        <w:autoSpaceDN w:val="0"/>
        <w:adjustRightInd w:val="0"/>
        <w:rPr>
          <w:sz w:val="20"/>
          <w:szCs w:val="20"/>
        </w:rPr>
      </w:pPr>
      <w:r w:rsidRPr="00A04969">
        <w:rPr>
          <w:rStyle w:val="FootnoteReference"/>
          <w:sz w:val="20"/>
          <w:szCs w:val="20"/>
        </w:rPr>
        <w:footnoteRef/>
      </w:r>
      <w:r w:rsidRPr="00A04969">
        <w:rPr>
          <w:sz w:val="20"/>
          <w:szCs w:val="20"/>
        </w:rPr>
        <w:t xml:space="preserve"> “Fate control” is the ability of communities and individuals to “control their own destiny, whether political, economic or along other axes.” </w:t>
      </w:r>
      <w:proofErr w:type="gramStart"/>
      <w:r w:rsidRPr="00A04969">
        <w:rPr>
          <w:sz w:val="20"/>
          <w:szCs w:val="20"/>
        </w:rPr>
        <w:t>Nordic Council of Ministers, Arctic Social Indicators at 16 (Joan N. Larson et al. eds., 2010) [hereinafter ASI 2010].</w:t>
      </w:r>
      <w:proofErr w:type="gramEnd"/>
    </w:p>
  </w:footnote>
  <w:footnote w:id="14">
    <w:p w14:paraId="136E9F9F" w14:textId="49FE8998" w:rsidR="00D43BBB" w:rsidRPr="00A04969" w:rsidRDefault="00D43BBB" w:rsidP="002420B7">
      <w:pPr>
        <w:widowControl w:val="0"/>
        <w:autoSpaceDE w:val="0"/>
        <w:autoSpaceDN w:val="0"/>
        <w:adjustRightInd w:val="0"/>
        <w:rPr>
          <w:sz w:val="20"/>
          <w:szCs w:val="20"/>
        </w:rPr>
      </w:pPr>
      <w:r w:rsidRPr="00A04969">
        <w:rPr>
          <w:rStyle w:val="FootnoteReference"/>
          <w:sz w:val="20"/>
          <w:szCs w:val="20"/>
        </w:rPr>
        <w:footnoteRef/>
      </w:r>
      <w:r w:rsidRPr="00A04969">
        <w:rPr>
          <w:sz w:val="20"/>
          <w:szCs w:val="20"/>
        </w:rPr>
        <w:t xml:space="preserve"> </w:t>
      </w:r>
      <w:r w:rsidRPr="00A04969">
        <w:rPr>
          <w:color w:val="1A1A1A"/>
          <w:sz w:val="20"/>
          <w:szCs w:val="20"/>
        </w:rPr>
        <w:t xml:space="preserve">Convention on Biological Diversity Secretariat, Akwé Kon: Voluntary Guidelines. </w:t>
      </w:r>
      <w:r w:rsidRPr="00A04969">
        <w:rPr>
          <w:iCs/>
          <w:color w:val="1A1A1A"/>
          <w:sz w:val="20"/>
          <w:szCs w:val="20"/>
        </w:rPr>
        <w:t>CBD Guidelines Series, CBD, Montreal, Canada</w:t>
      </w:r>
      <w:r w:rsidRPr="00A04969">
        <w:rPr>
          <w:color w:val="1A1A1A"/>
          <w:sz w:val="20"/>
          <w:szCs w:val="20"/>
        </w:rPr>
        <w:t xml:space="preserve"> at 1 (2004) (noting contribution that </w:t>
      </w:r>
      <w:r w:rsidRPr="00A04969">
        <w:rPr>
          <w:sz w:val="20"/>
          <w:szCs w:val="20"/>
        </w:rPr>
        <w:t>Indigenous Knowledge can make to both the conservation and the sustainable use of biological diversity) [hereinafter</w:t>
      </w:r>
      <w:r w:rsidRPr="00A04969">
        <w:rPr>
          <w:color w:val="1A1A1A"/>
          <w:sz w:val="20"/>
          <w:szCs w:val="20"/>
        </w:rPr>
        <w:t xml:space="preserve"> Akwé Kon: Voluntary Guidelines]</w:t>
      </w:r>
      <w:r w:rsidRPr="00A04969">
        <w:rPr>
          <w:sz w:val="20"/>
          <w:szCs w:val="20"/>
        </w:rPr>
        <w:t xml:space="preserve">; Stevenson, M., </w:t>
      </w:r>
      <w:r w:rsidRPr="00A04969">
        <w:rPr>
          <w:color w:val="1A1A1A"/>
          <w:sz w:val="20"/>
          <w:szCs w:val="20"/>
        </w:rPr>
        <w:t xml:space="preserve">“Decolonizing co-management in northern Canada.” 28.1 </w:t>
      </w:r>
      <w:r w:rsidRPr="00A04969">
        <w:rPr>
          <w:iCs/>
          <w:color w:val="1A1A1A"/>
          <w:sz w:val="20"/>
          <w:szCs w:val="20"/>
        </w:rPr>
        <w:t>Cultural Survival Quarterly</w:t>
      </w:r>
      <w:r w:rsidRPr="00A04969">
        <w:rPr>
          <w:color w:val="1A1A1A"/>
          <w:sz w:val="20"/>
          <w:szCs w:val="20"/>
        </w:rPr>
        <w:t xml:space="preserve"> 68-72</w:t>
      </w:r>
      <w:r w:rsidRPr="00A04969">
        <w:rPr>
          <w:sz w:val="20"/>
          <w:szCs w:val="20"/>
        </w:rPr>
        <w:t xml:space="preserve"> </w:t>
      </w:r>
      <w:r w:rsidRPr="00A04969">
        <w:rPr>
          <w:color w:val="1A1A1A"/>
          <w:sz w:val="20"/>
          <w:szCs w:val="20"/>
        </w:rPr>
        <w:t xml:space="preserve">(2004) </w:t>
      </w:r>
      <w:r w:rsidRPr="00A04969">
        <w:rPr>
          <w:sz w:val="20"/>
          <w:szCs w:val="20"/>
        </w:rPr>
        <w:t>(noting “the knowledge of Aboriginal peoples may have much to contribute to understanding and developing sustainable relationships with the natural world”).</w:t>
      </w:r>
    </w:p>
  </w:footnote>
  <w:footnote w:id="15">
    <w:p w14:paraId="5F60210E" w14:textId="32A95113"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r w:rsidRPr="00A04969">
        <w:rPr>
          <w:rFonts w:ascii="Times New Roman" w:hAnsi="Times New Roman" w:cs="Times New Roman"/>
          <w:sz w:val="20"/>
          <w:szCs w:val="20"/>
          <w:lang w:val="en-CA"/>
        </w:rPr>
        <w:t>Protection of the Marine Environment Working Group, Systems Safety Management and Safety Culture: Avoiding Major Disasters in Arctic, Offshore Oil &amp; Gas Operations (2014).</w:t>
      </w:r>
    </w:p>
  </w:footnote>
  <w:footnote w:id="16">
    <w:p w14:paraId="708644A2" w14:textId="097F547A" w:rsidR="00D43BBB" w:rsidRPr="00A04969" w:rsidRDefault="00D43BBB" w:rsidP="002420B7">
      <w:pPr>
        <w:widowControl w:val="0"/>
        <w:autoSpaceDE w:val="0"/>
        <w:autoSpaceDN w:val="0"/>
        <w:adjustRightInd w:val="0"/>
        <w:rPr>
          <w:sz w:val="20"/>
          <w:szCs w:val="20"/>
          <w:lang w:val="en-US"/>
        </w:rPr>
      </w:pPr>
      <w:r w:rsidRPr="00A04969">
        <w:rPr>
          <w:rStyle w:val="FootnoteReference"/>
          <w:sz w:val="20"/>
          <w:szCs w:val="20"/>
        </w:rPr>
        <w:footnoteRef/>
      </w:r>
      <w:r w:rsidRPr="00A04969">
        <w:rPr>
          <w:sz w:val="20"/>
          <w:szCs w:val="20"/>
        </w:rPr>
        <w:t xml:space="preserve"> Udofina et al, </w:t>
      </w:r>
      <w:r w:rsidRPr="00A04969">
        <w:rPr>
          <w:sz w:val="20"/>
          <w:szCs w:val="20"/>
          <w:lang w:val="en-US"/>
        </w:rPr>
        <w:t xml:space="preserve">Community Engagement in Environmental Assessment for Resource Development: Benefits, Enduring Concerns, Opportunities for Improvement 39 </w:t>
      </w:r>
      <w:proofErr w:type="gramStart"/>
      <w:r w:rsidRPr="00A04969">
        <w:rPr>
          <w:iCs/>
          <w:sz w:val="20"/>
          <w:szCs w:val="20"/>
          <w:lang w:val="en-US"/>
        </w:rPr>
        <w:t>The</w:t>
      </w:r>
      <w:proofErr w:type="gramEnd"/>
      <w:r w:rsidRPr="00A04969">
        <w:rPr>
          <w:iCs/>
          <w:sz w:val="20"/>
          <w:szCs w:val="20"/>
          <w:lang w:val="en-US"/>
        </w:rPr>
        <w:t xml:space="preserve"> Northern Review</w:t>
      </w:r>
      <w:r w:rsidRPr="00A04969">
        <w:rPr>
          <w:i/>
          <w:iCs/>
          <w:sz w:val="20"/>
          <w:szCs w:val="20"/>
          <w:lang w:val="en-US"/>
        </w:rPr>
        <w:t xml:space="preserve"> </w:t>
      </w:r>
      <w:r w:rsidRPr="00A04969">
        <w:rPr>
          <w:sz w:val="20"/>
          <w:szCs w:val="20"/>
          <w:lang w:val="en-US"/>
        </w:rPr>
        <w:t>100 (2015).</w:t>
      </w:r>
    </w:p>
  </w:footnote>
  <w:footnote w:id="17">
    <w:p w14:paraId="6A03EC97" w14:textId="0733E7FC" w:rsidR="00D43BBB" w:rsidRPr="00A04969" w:rsidRDefault="00D43BBB" w:rsidP="002420B7">
      <w:pPr>
        <w:rPr>
          <w:sz w:val="20"/>
          <w:szCs w:val="20"/>
        </w:rPr>
      </w:pPr>
      <w:r w:rsidRPr="00A04969">
        <w:rPr>
          <w:rStyle w:val="FootnoteReference"/>
          <w:sz w:val="20"/>
          <w:szCs w:val="20"/>
        </w:rPr>
        <w:footnoteRef/>
      </w:r>
      <w:r w:rsidRPr="00A04969">
        <w:rPr>
          <w:sz w:val="20"/>
          <w:szCs w:val="20"/>
        </w:rPr>
        <w:t xml:space="preserve"> Newman, D., et al, </w:t>
      </w:r>
      <w:r w:rsidRPr="00A04969">
        <w:rPr>
          <w:i/>
          <w:sz w:val="20"/>
          <w:szCs w:val="20"/>
        </w:rPr>
        <w:t>Arctic Energy Development and Best Practices on Consultation with Indigenous Peoples,</w:t>
      </w:r>
      <w:r w:rsidRPr="00A04969">
        <w:rPr>
          <w:sz w:val="20"/>
          <w:szCs w:val="20"/>
        </w:rPr>
        <w:t xml:space="preserve"> 32 Boston University International Law Journal 449, 482–83 (2014).</w:t>
      </w:r>
    </w:p>
  </w:footnote>
  <w:footnote w:id="18">
    <w:p w14:paraId="17011CBB" w14:textId="5B0F8876"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r w:rsidRPr="00A04969">
        <w:rPr>
          <w:rFonts w:ascii="Times New Roman" w:hAnsi="Times New Roman" w:cs="Times New Roman"/>
          <w:i/>
          <w:sz w:val="20"/>
          <w:szCs w:val="20"/>
        </w:rPr>
        <w:t xml:space="preserve">See generally, </w:t>
      </w:r>
      <w:r w:rsidRPr="00A04969">
        <w:rPr>
          <w:rFonts w:ascii="Times New Roman" w:hAnsi="Times New Roman" w:cs="Times New Roman"/>
          <w:i/>
          <w:sz w:val="20"/>
          <w:szCs w:val="20"/>
          <w:lang w:val="en-CA"/>
        </w:rPr>
        <w:t>id.</w:t>
      </w:r>
    </w:p>
  </w:footnote>
  <w:footnote w:id="19">
    <w:p w14:paraId="20B7F0CD" w14:textId="5DBD6ACB" w:rsidR="00D43BBB" w:rsidRPr="00A04969" w:rsidRDefault="00D43BBB" w:rsidP="002420B7">
      <w:pPr>
        <w:widowControl w:val="0"/>
        <w:autoSpaceDE w:val="0"/>
        <w:autoSpaceDN w:val="0"/>
        <w:adjustRightInd w:val="0"/>
        <w:rPr>
          <w:sz w:val="20"/>
          <w:szCs w:val="20"/>
        </w:rPr>
      </w:pPr>
      <w:r w:rsidRPr="00A04969">
        <w:rPr>
          <w:rStyle w:val="FootnoteReference"/>
          <w:sz w:val="20"/>
          <w:szCs w:val="20"/>
        </w:rPr>
        <w:footnoteRef/>
      </w:r>
      <w:r w:rsidRPr="00A04969">
        <w:rPr>
          <w:sz w:val="20"/>
          <w:szCs w:val="20"/>
        </w:rPr>
        <w:t xml:space="preserve"> </w:t>
      </w:r>
      <w:proofErr w:type="gramStart"/>
      <w:r w:rsidRPr="00A04969">
        <w:rPr>
          <w:sz w:val="20"/>
          <w:szCs w:val="20"/>
        </w:rPr>
        <w:t>The Constitution of the Russian Federation, art.</w:t>
      </w:r>
      <w:proofErr w:type="gramEnd"/>
      <w:r w:rsidRPr="00A04969">
        <w:rPr>
          <w:sz w:val="20"/>
          <w:szCs w:val="20"/>
        </w:rPr>
        <w:t xml:space="preserve"> </w:t>
      </w:r>
      <w:proofErr w:type="gramStart"/>
      <w:r w:rsidRPr="00A04969">
        <w:rPr>
          <w:sz w:val="20"/>
          <w:szCs w:val="20"/>
        </w:rPr>
        <w:t>69; Canada Constitution Act, 1982, art.</w:t>
      </w:r>
      <w:proofErr w:type="gramEnd"/>
      <w:r w:rsidRPr="00A04969">
        <w:rPr>
          <w:sz w:val="20"/>
          <w:szCs w:val="20"/>
        </w:rPr>
        <w:t xml:space="preserve"> </w:t>
      </w:r>
      <w:proofErr w:type="gramStart"/>
      <w:r w:rsidRPr="00A04969">
        <w:rPr>
          <w:sz w:val="20"/>
          <w:szCs w:val="20"/>
        </w:rPr>
        <w:t>35; Norway Constitution, art.</w:t>
      </w:r>
      <w:proofErr w:type="gramEnd"/>
      <w:r w:rsidRPr="00A04969">
        <w:rPr>
          <w:sz w:val="20"/>
          <w:szCs w:val="20"/>
        </w:rPr>
        <w:t xml:space="preserve"> 110.</w:t>
      </w:r>
    </w:p>
  </w:footnote>
  <w:footnote w:id="20">
    <w:p w14:paraId="4B9DAB29" w14:textId="3C8D7B9B" w:rsidR="00D43BBB" w:rsidRPr="00A04969" w:rsidRDefault="00D43BBB" w:rsidP="002420B7">
      <w:pPr>
        <w:widowControl w:val="0"/>
        <w:autoSpaceDE w:val="0"/>
        <w:autoSpaceDN w:val="0"/>
        <w:adjustRightInd w:val="0"/>
        <w:rPr>
          <w:sz w:val="20"/>
          <w:szCs w:val="20"/>
        </w:rPr>
      </w:pPr>
      <w:r w:rsidRPr="00A04969">
        <w:rPr>
          <w:rStyle w:val="FootnoteReference"/>
          <w:sz w:val="20"/>
          <w:szCs w:val="20"/>
        </w:rPr>
        <w:footnoteRef/>
      </w:r>
      <w:r w:rsidRPr="00A04969">
        <w:rPr>
          <w:sz w:val="20"/>
          <w:szCs w:val="20"/>
        </w:rPr>
        <w:t xml:space="preserve"> </w:t>
      </w:r>
      <w:r w:rsidRPr="00A04969">
        <w:rPr>
          <w:i/>
          <w:sz w:val="20"/>
          <w:szCs w:val="20"/>
        </w:rPr>
        <w:t>See, e.g.,</w:t>
      </w:r>
      <w:r w:rsidRPr="00A04969">
        <w:rPr>
          <w:sz w:val="20"/>
          <w:szCs w:val="20"/>
        </w:rPr>
        <w:t xml:space="preserve"> National Historic Preservation Act, 16 U.S.C. § 470 et seq.; Federal Law on the rights of the small-numbered Indigenous Peoples of the Russian Federation; Finnmark Act No. 85 (June 17, 2005).</w:t>
      </w:r>
    </w:p>
  </w:footnote>
  <w:footnote w:id="21">
    <w:p w14:paraId="7ABC10B1" w14:textId="2026808E"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r w:rsidRPr="00A04969">
        <w:rPr>
          <w:rFonts w:ascii="Times New Roman" w:hAnsi="Times New Roman" w:cs="Times New Roman"/>
          <w:i/>
          <w:sz w:val="20"/>
          <w:szCs w:val="20"/>
        </w:rPr>
        <w:t>See, e.g.,</w:t>
      </w:r>
      <w:r w:rsidRPr="00A04969">
        <w:rPr>
          <w:rFonts w:ascii="Times New Roman" w:hAnsi="Times New Roman" w:cs="Times New Roman"/>
          <w:sz w:val="20"/>
          <w:szCs w:val="20"/>
        </w:rPr>
        <w:t xml:space="preserve"> </w:t>
      </w:r>
      <w:r w:rsidRPr="00A04969">
        <w:rPr>
          <w:rFonts w:ascii="Times New Roman" w:eastAsia="Times New Roman" w:hAnsi="Times New Roman" w:cs="Times New Roman"/>
          <w:color w:val="000000"/>
          <w:sz w:val="20"/>
          <w:szCs w:val="20"/>
        </w:rPr>
        <w:t>Executive Order 53 by ChAD Governor - On the Indigenous Small Peoples Board under ChAD Governor (2013).</w:t>
      </w:r>
    </w:p>
  </w:footnote>
  <w:footnote w:id="22">
    <w:p w14:paraId="1BD95D79" w14:textId="3E76614C"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r w:rsidRPr="00A04969">
        <w:rPr>
          <w:rFonts w:ascii="Times New Roman" w:hAnsi="Times New Roman" w:cs="Times New Roman"/>
          <w:i/>
          <w:sz w:val="20"/>
          <w:szCs w:val="20"/>
        </w:rPr>
        <w:t>See, e.g.,</w:t>
      </w:r>
      <w:r w:rsidRPr="00A04969">
        <w:rPr>
          <w:rFonts w:ascii="Times New Roman" w:hAnsi="Times New Roman" w:cs="Times New Roman"/>
          <w:sz w:val="20"/>
          <w:szCs w:val="20"/>
        </w:rPr>
        <w:t xml:space="preserve"> 40 C.F.R. §1501.2(d)(2) (requiring Federal agencies consult with Indian tribes early in the NEPA process).</w:t>
      </w:r>
    </w:p>
  </w:footnote>
  <w:footnote w:id="23">
    <w:p w14:paraId="7CE3B881" w14:textId="77777777" w:rsidR="00D43BBB" w:rsidRPr="00A04969" w:rsidRDefault="00D43BBB" w:rsidP="002420B7">
      <w:pPr>
        <w:widowControl w:val="0"/>
        <w:autoSpaceDE w:val="0"/>
        <w:autoSpaceDN w:val="0"/>
        <w:adjustRightInd w:val="0"/>
        <w:rPr>
          <w:sz w:val="20"/>
          <w:szCs w:val="20"/>
        </w:rPr>
      </w:pPr>
      <w:r w:rsidRPr="00A04969">
        <w:rPr>
          <w:rStyle w:val="FootnoteReference"/>
          <w:sz w:val="20"/>
          <w:szCs w:val="20"/>
        </w:rPr>
        <w:footnoteRef/>
      </w:r>
      <w:r w:rsidRPr="00A04969">
        <w:rPr>
          <w:sz w:val="20"/>
          <w:szCs w:val="20"/>
        </w:rPr>
        <w:t xml:space="preserve"> </w:t>
      </w:r>
      <w:r w:rsidRPr="00A04969">
        <w:rPr>
          <w:i/>
          <w:sz w:val="20"/>
          <w:szCs w:val="20"/>
        </w:rPr>
        <w:t>See, e.g.,</w:t>
      </w:r>
      <w:r w:rsidRPr="00A04969">
        <w:rPr>
          <w:sz w:val="20"/>
          <w:szCs w:val="20"/>
        </w:rPr>
        <w:t xml:space="preserve"> Gwich’in Comprehensive Land Claim Agreement, Apr. 22, 1992, § 21.1.3.</w:t>
      </w:r>
    </w:p>
  </w:footnote>
  <w:footnote w:id="24">
    <w:p w14:paraId="380CD721" w14:textId="1B4FCA7E" w:rsidR="00D43BBB" w:rsidRPr="00A04969" w:rsidRDefault="00D43BBB" w:rsidP="002420B7">
      <w:pPr>
        <w:widowControl w:val="0"/>
        <w:autoSpaceDE w:val="0"/>
        <w:autoSpaceDN w:val="0"/>
        <w:adjustRightInd w:val="0"/>
        <w:rPr>
          <w:sz w:val="20"/>
          <w:szCs w:val="20"/>
        </w:rPr>
      </w:pPr>
      <w:r w:rsidRPr="00A04969">
        <w:rPr>
          <w:rStyle w:val="FootnoteReference"/>
          <w:sz w:val="20"/>
          <w:szCs w:val="20"/>
        </w:rPr>
        <w:footnoteRef/>
      </w:r>
      <w:r w:rsidRPr="00A04969">
        <w:rPr>
          <w:sz w:val="20"/>
          <w:szCs w:val="20"/>
        </w:rPr>
        <w:t xml:space="preserve"> </w:t>
      </w:r>
      <w:r w:rsidRPr="00A04969">
        <w:rPr>
          <w:i/>
          <w:sz w:val="20"/>
          <w:szCs w:val="20"/>
        </w:rPr>
        <w:t>See, e.g.,</w:t>
      </w:r>
      <w:r w:rsidRPr="00A04969">
        <w:rPr>
          <w:sz w:val="20"/>
          <w:szCs w:val="20"/>
        </w:rPr>
        <w:t xml:space="preserve"> </w:t>
      </w:r>
      <w:r w:rsidRPr="00A04969">
        <w:rPr>
          <w:i/>
          <w:sz w:val="20"/>
          <w:szCs w:val="20"/>
        </w:rPr>
        <w:t>Haida</w:t>
      </w:r>
      <w:r w:rsidRPr="00A04969">
        <w:rPr>
          <w:sz w:val="20"/>
          <w:szCs w:val="20"/>
        </w:rPr>
        <w:t xml:space="preserve">; </w:t>
      </w:r>
      <w:r w:rsidRPr="00A04969">
        <w:rPr>
          <w:i/>
          <w:sz w:val="20"/>
          <w:szCs w:val="20"/>
        </w:rPr>
        <w:t>Beckman v. Little Salmon/Carmacks First Nation</w:t>
      </w:r>
      <w:r w:rsidRPr="00A04969">
        <w:rPr>
          <w:sz w:val="20"/>
          <w:szCs w:val="20"/>
        </w:rPr>
        <w:t xml:space="preserve">, 2010 SCC 53, (2010) 3 S.C.R. 103 [hereinafter </w:t>
      </w:r>
      <w:proofErr w:type="spellStart"/>
      <w:r w:rsidRPr="00A04969">
        <w:rPr>
          <w:i/>
          <w:sz w:val="20"/>
          <w:szCs w:val="20"/>
        </w:rPr>
        <w:t>Haida</w:t>
      </w:r>
      <w:proofErr w:type="spellEnd"/>
      <w:r w:rsidRPr="00A04969">
        <w:rPr>
          <w:sz w:val="20"/>
          <w:szCs w:val="20"/>
        </w:rPr>
        <w:t>].</w:t>
      </w:r>
    </w:p>
  </w:footnote>
  <w:footnote w:id="25">
    <w:p w14:paraId="1AB4604E" w14:textId="3761CA75" w:rsidR="00D43BBB" w:rsidRPr="00A04969" w:rsidRDefault="00D43BBB" w:rsidP="002420B7">
      <w:pPr>
        <w:widowControl w:val="0"/>
        <w:numPr>
          <w:ilvl w:val="0"/>
          <w:numId w:val="1"/>
        </w:numPr>
        <w:tabs>
          <w:tab w:val="left" w:pos="0"/>
          <w:tab w:val="left" w:pos="220"/>
        </w:tabs>
        <w:autoSpaceDE w:val="0"/>
        <w:autoSpaceDN w:val="0"/>
        <w:adjustRightInd w:val="0"/>
        <w:ind w:left="0" w:firstLine="0"/>
        <w:rPr>
          <w:sz w:val="20"/>
          <w:szCs w:val="20"/>
          <w:lang w:val="en-US"/>
        </w:rPr>
      </w:pPr>
      <w:r w:rsidRPr="00A04969">
        <w:rPr>
          <w:rStyle w:val="FootnoteReference"/>
          <w:sz w:val="20"/>
          <w:szCs w:val="20"/>
        </w:rPr>
        <w:footnoteRef/>
      </w:r>
      <w:r w:rsidRPr="00A04969">
        <w:rPr>
          <w:sz w:val="20"/>
          <w:szCs w:val="20"/>
        </w:rPr>
        <w:t xml:space="preserve"> </w:t>
      </w:r>
      <w:r w:rsidRPr="00A04969">
        <w:rPr>
          <w:iCs/>
          <w:sz w:val="20"/>
          <w:szCs w:val="20"/>
          <w:lang w:val="en-US"/>
        </w:rPr>
        <w:t>Hansen, K. and Bankes, N.,</w:t>
      </w:r>
      <w:r w:rsidRPr="00A04969">
        <w:rPr>
          <w:i/>
          <w:iCs/>
          <w:sz w:val="20"/>
          <w:szCs w:val="20"/>
          <w:lang w:val="en-US"/>
        </w:rPr>
        <w:t xml:space="preserve"> </w:t>
      </w:r>
      <w:r w:rsidRPr="00A04969">
        <w:rPr>
          <w:bCs/>
          <w:i/>
          <w:sz w:val="20"/>
          <w:szCs w:val="20"/>
          <w:lang w:val="en-US"/>
        </w:rPr>
        <w:t>Human Rights and Indigenous Peoples in the Arctic: What are the Implications for the Oil and Gas Industry</w:t>
      </w:r>
      <w:proofErr w:type="gramStart"/>
      <w:r w:rsidRPr="00A04969">
        <w:rPr>
          <w:bCs/>
          <w:i/>
          <w:sz w:val="20"/>
          <w:szCs w:val="20"/>
          <w:lang w:val="en-US"/>
        </w:rPr>
        <w:t>?,</w:t>
      </w:r>
      <w:proofErr w:type="gramEnd"/>
      <w:r w:rsidRPr="00A04969">
        <w:rPr>
          <w:bCs/>
          <w:i/>
          <w:sz w:val="20"/>
          <w:szCs w:val="20"/>
          <w:lang w:val="en-US"/>
        </w:rPr>
        <w:t xml:space="preserve"> </w:t>
      </w:r>
      <w:r w:rsidRPr="00A04969">
        <w:rPr>
          <w:bCs/>
          <w:sz w:val="20"/>
          <w:szCs w:val="20"/>
          <w:lang w:val="en-US"/>
        </w:rPr>
        <w:t xml:space="preserve">in </w:t>
      </w:r>
      <w:r w:rsidRPr="00A04969">
        <w:rPr>
          <w:sz w:val="20"/>
          <w:szCs w:val="20"/>
          <w:lang w:val="en-US"/>
        </w:rPr>
        <w:t>Arctic Oil and Gas, Sustainability at Risk?</w:t>
      </w:r>
      <w:r w:rsidRPr="00A04969">
        <w:rPr>
          <w:iCs/>
          <w:sz w:val="20"/>
          <w:szCs w:val="20"/>
          <w:lang w:val="en-US"/>
        </w:rPr>
        <w:t xml:space="preserve"> 310 (</w:t>
      </w:r>
      <w:r w:rsidRPr="00A04969">
        <w:rPr>
          <w:bCs/>
          <w:sz w:val="20"/>
          <w:szCs w:val="20"/>
          <w:lang w:val="en-US"/>
        </w:rPr>
        <w:t xml:space="preserve">Mikkelsen, A. and Langhelle, O., eds., </w:t>
      </w:r>
      <w:r w:rsidRPr="00A04969">
        <w:rPr>
          <w:iCs/>
          <w:sz w:val="20"/>
          <w:szCs w:val="20"/>
          <w:lang w:val="en-US"/>
        </w:rPr>
        <w:t>2008).</w:t>
      </w:r>
    </w:p>
  </w:footnote>
  <w:footnote w:id="26">
    <w:p w14:paraId="5FA5D212" w14:textId="0A123E2A" w:rsidR="00D43BBB" w:rsidRPr="00A04969" w:rsidRDefault="00D43BBB" w:rsidP="002420B7">
      <w:pPr>
        <w:widowControl w:val="0"/>
        <w:autoSpaceDE w:val="0"/>
        <w:autoSpaceDN w:val="0"/>
        <w:adjustRightInd w:val="0"/>
        <w:rPr>
          <w:sz w:val="20"/>
          <w:szCs w:val="20"/>
        </w:rPr>
      </w:pPr>
      <w:r w:rsidRPr="00A04969">
        <w:rPr>
          <w:rStyle w:val="FootnoteReference"/>
          <w:sz w:val="20"/>
          <w:szCs w:val="20"/>
        </w:rPr>
        <w:footnoteRef/>
      </w:r>
      <w:r w:rsidRPr="00A04969">
        <w:rPr>
          <w:sz w:val="20"/>
          <w:szCs w:val="20"/>
        </w:rPr>
        <w:t xml:space="preserve"> </w:t>
      </w:r>
      <w:proofErr w:type="spellStart"/>
      <w:r w:rsidRPr="00A04969">
        <w:rPr>
          <w:sz w:val="20"/>
          <w:szCs w:val="20"/>
        </w:rPr>
        <w:t>Slepstov</w:t>
      </w:r>
      <w:proofErr w:type="spellEnd"/>
      <w:r w:rsidRPr="00A04969">
        <w:rPr>
          <w:sz w:val="20"/>
          <w:szCs w:val="20"/>
        </w:rPr>
        <w:t xml:space="preserve">, A. </w:t>
      </w:r>
      <w:r w:rsidRPr="00A04969">
        <w:rPr>
          <w:i/>
          <w:sz w:val="20"/>
          <w:szCs w:val="20"/>
        </w:rPr>
        <w:t>Ethnological Expertise in Yakutia,</w:t>
      </w:r>
      <w:r w:rsidRPr="00A04969">
        <w:rPr>
          <w:sz w:val="20"/>
          <w:szCs w:val="20"/>
        </w:rPr>
        <w:t xml:space="preserve"> 39 </w:t>
      </w:r>
      <w:proofErr w:type="gramStart"/>
      <w:r w:rsidRPr="00A04969">
        <w:rPr>
          <w:sz w:val="20"/>
          <w:szCs w:val="20"/>
        </w:rPr>
        <w:t>The</w:t>
      </w:r>
      <w:proofErr w:type="gramEnd"/>
      <w:r w:rsidRPr="00A04969">
        <w:rPr>
          <w:sz w:val="20"/>
          <w:szCs w:val="20"/>
        </w:rPr>
        <w:t xml:space="preserve"> Northern Review</w:t>
      </w:r>
      <w:r w:rsidRPr="00A04969">
        <w:rPr>
          <w:iCs/>
          <w:sz w:val="20"/>
          <w:szCs w:val="20"/>
        </w:rPr>
        <w:t xml:space="preserve"> 88, 95 (2015).</w:t>
      </w:r>
      <w:r w:rsidRPr="00A04969">
        <w:rPr>
          <w:i/>
          <w:iCs/>
          <w:sz w:val="20"/>
          <w:szCs w:val="20"/>
        </w:rPr>
        <w:t xml:space="preserve"> </w:t>
      </w:r>
      <w:r w:rsidRPr="00A04969">
        <w:rPr>
          <w:sz w:val="20"/>
          <w:szCs w:val="20"/>
        </w:rPr>
        <w:t xml:space="preserve"> </w:t>
      </w:r>
    </w:p>
  </w:footnote>
  <w:footnote w:id="27">
    <w:p w14:paraId="7778E882" w14:textId="3B3E154D" w:rsidR="00D43BBB" w:rsidRPr="00A04969" w:rsidRDefault="00D43BBB" w:rsidP="002420B7">
      <w:pPr>
        <w:rPr>
          <w:rFonts w:eastAsia="Times New Roman"/>
          <w:color w:val="000000"/>
          <w:sz w:val="20"/>
          <w:szCs w:val="20"/>
          <w:lang w:val="en-US"/>
        </w:rPr>
      </w:pPr>
      <w:r w:rsidRPr="00A04969">
        <w:rPr>
          <w:rStyle w:val="FootnoteReference"/>
          <w:sz w:val="20"/>
          <w:szCs w:val="20"/>
        </w:rPr>
        <w:footnoteRef/>
      </w:r>
      <w:r w:rsidRPr="00A04969">
        <w:rPr>
          <w:sz w:val="20"/>
          <w:szCs w:val="20"/>
        </w:rPr>
        <w:t xml:space="preserve"> </w:t>
      </w:r>
      <w:r w:rsidRPr="00A04969">
        <w:rPr>
          <w:i/>
          <w:sz w:val="20"/>
          <w:szCs w:val="20"/>
        </w:rPr>
        <w:t>See, e.g.,</w:t>
      </w:r>
      <w:r w:rsidRPr="00A04969">
        <w:rPr>
          <w:sz w:val="20"/>
          <w:szCs w:val="20"/>
        </w:rPr>
        <w:t xml:space="preserve"> Department of Aboriginal Affairs and Northern Development Canada, Aboriginal Consultation and Accommodation Updated Guidelines</w:t>
      </w:r>
      <w:r w:rsidRPr="00A04969">
        <w:rPr>
          <w:bCs/>
          <w:sz w:val="20"/>
          <w:szCs w:val="20"/>
        </w:rPr>
        <w:t xml:space="preserve"> (2011) [hereinafter </w:t>
      </w:r>
      <w:r w:rsidRPr="00A04969">
        <w:rPr>
          <w:sz w:val="20"/>
          <w:szCs w:val="20"/>
        </w:rPr>
        <w:t>INAC Guidelines]</w:t>
      </w:r>
      <w:r w:rsidRPr="00A04969">
        <w:rPr>
          <w:bCs/>
          <w:sz w:val="20"/>
          <w:szCs w:val="20"/>
        </w:rPr>
        <w:t xml:space="preserve">; Exec. Order No. 13175, </w:t>
      </w:r>
      <w:r w:rsidRPr="00A04969">
        <w:rPr>
          <w:bCs/>
          <w:i/>
          <w:sz w:val="20"/>
          <w:szCs w:val="20"/>
        </w:rPr>
        <w:t>supra</w:t>
      </w:r>
      <w:r w:rsidRPr="00A04969">
        <w:rPr>
          <w:bCs/>
          <w:sz w:val="20"/>
          <w:szCs w:val="20"/>
        </w:rPr>
        <w:t xml:space="preserve"> n. </w:t>
      </w:r>
      <w:r w:rsidRPr="00A04969">
        <w:rPr>
          <w:bCs/>
          <w:sz w:val="20"/>
          <w:szCs w:val="20"/>
        </w:rPr>
        <w:fldChar w:fldCharType="begin"/>
      </w:r>
      <w:r w:rsidRPr="00A04969">
        <w:rPr>
          <w:bCs/>
          <w:sz w:val="20"/>
          <w:szCs w:val="20"/>
        </w:rPr>
        <w:instrText xml:space="preserve"> NOTEREF _Ref333993101 \h </w:instrText>
      </w:r>
      <w:r w:rsidRPr="00A04969">
        <w:rPr>
          <w:bCs/>
          <w:sz w:val="20"/>
          <w:szCs w:val="20"/>
        </w:rPr>
      </w:r>
      <w:r w:rsidRPr="00A04969">
        <w:rPr>
          <w:bCs/>
          <w:sz w:val="20"/>
          <w:szCs w:val="20"/>
        </w:rPr>
        <w:fldChar w:fldCharType="separate"/>
      </w:r>
      <w:r>
        <w:rPr>
          <w:bCs/>
          <w:sz w:val="20"/>
          <w:szCs w:val="20"/>
        </w:rPr>
        <w:t>7</w:t>
      </w:r>
      <w:r w:rsidRPr="00A04969">
        <w:rPr>
          <w:bCs/>
          <w:sz w:val="20"/>
          <w:szCs w:val="20"/>
        </w:rPr>
        <w:fldChar w:fldCharType="end"/>
      </w:r>
      <w:r w:rsidRPr="00A04969">
        <w:rPr>
          <w:bCs/>
          <w:sz w:val="20"/>
          <w:szCs w:val="20"/>
        </w:rPr>
        <w:t>; U.S. EPA, Policy on Consultation and Coordination with Indian Tribes (2011);</w:t>
      </w:r>
      <w:r w:rsidRPr="00A04969">
        <w:rPr>
          <w:rFonts w:eastAsia="Times New Roman"/>
          <w:color w:val="000000"/>
          <w:sz w:val="20"/>
          <w:szCs w:val="20"/>
        </w:rPr>
        <w:t xml:space="preserve"> </w:t>
      </w:r>
      <w:r w:rsidRPr="00A04969">
        <w:rPr>
          <w:rFonts w:eastAsia="Times New Roman"/>
          <w:color w:val="000000"/>
          <w:sz w:val="20"/>
          <w:szCs w:val="20"/>
          <w:lang w:val="en-US"/>
        </w:rPr>
        <w:t>Procedures for Consultations between State Authorities and The Saami Parliament (2005).</w:t>
      </w:r>
    </w:p>
  </w:footnote>
  <w:footnote w:id="28">
    <w:p w14:paraId="14253802" w14:textId="0B2D1747" w:rsidR="00D43BBB" w:rsidRPr="00A04969" w:rsidRDefault="00D43BBB" w:rsidP="002420B7">
      <w:pPr>
        <w:widowControl w:val="0"/>
        <w:autoSpaceDE w:val="0"/>
        <w:autoSpaceDN w:val="0"/>
        <w:adjustRightInd w:val="0"/>
        <w:rPr>
          <w:sz w:val="20"/>
          <w:szCs w:val="20"/>
          <w:lang w:val="en-US"/>
        </w:rPr>
      </w:pPr>
      <w:r w:rsidRPr="00A04969">
        <w:rPr>
          <w:rStyle w:val="FootnoteReference"/>
          <w:sz w:val="20"/>
          <w:szCs w:val="20"/>
        </w:rPr>
        <w:footnoteRef/>
      </w:r>
      <w:r w:rsidRPr="00A04969">
        <w:rPr>
          <w:sz w:val="20"/>
          <w:szCs w:val="20"/>
        </w:rPr>
        <w:t xml:space="preserve"> </w:t>
      </w:r>
      <w:r w:rsidRPr="00A04969">
        <w:rPr>
          <w:i/>
          <w:sz w:val="20"/>
          <w:szCs w:val="20"/>
        </w:rPr>
        <w:t>See, e.g.,</w:t>
      </w:r>
      <w:r w:rsidRPr="00A04969">
        <w:rPr>
          <w:sz w:val="20"/>
          <w:szCs w:val="20"/>
        </w:rPr>
        <w:t xml:space="preserve"> </w:t>
      </w:r>
      <w:r w:rsidRPr="00A04969">
        <w:rPr>
          <w:iCs/>
          <w:sz w:val="20"/>
          <w:szCs w:val="20"/>
          <w:lang w:val="en-US"/>
        </w:rPr>
        <w:t>Memorandum for the Heads of Executive Departments and Agencies</w:t>
      </w:r>
      <w:r w:rsidRPr="00A04969">
        <w:rPr>
          <w:i/>
          <w:iCs/>
          <w:sz w:val="20"/>
          <w:szCs w:val="20"/>
          <w:lang w:val="en-US"/>
        </w:rPr>
        <w:t xml:space="preserve">, </w:t>
      </w:r>
      <w:r w:rsidRPr="00A04969">
        <w:rPr>
          <w:bCs/>
          <w:sz w:val="20"/>
          <w:szCs w:val="20"/>
        </w:rPr>
        <w:t>Memorandum on Tribal Consultation</w:t>
      </w:r>
      <w:r w:rsidRPr="00A04969">
        <w:rPr>
          <w:b/>
          <w:bCs/>
          <w:sz w:val="20"/>
          <w:szCs w:val="20"/>
        </w:rPr>
        <w:t xml:space="preserve">, </w:t>
      </w:r>
      <w:r w:rsidRPr="00A04969">
        <w:rPr>
          <w:sz w:val="20"/>
          <w:szCs w:val="20"/>
          <w:lang w:val="en-US"/>
        </w:rPr>
        <w:t>74 Fed. Reg. 57879</w:t>
      </w:r>
      <w:r w:rsidRPr="00A04969">
        <w:rPr>
          <w:b/>
          <w:bCs/>
          <w:sz w:val="20"/>
          <w:szCs w:val="20"/>
        </w:rPr>
        <w:t xml:space="preserve"> </w:t>
      </w:r>
      <w:r w:rsidRPr="00A04969">
        <w:rPr>
          <w:sz w:val="20"/>
          <w:szCs w:val="20"/>
          <w:lang w:val="en-US"/>
        </w:rPr>
        <w:t xml:space="preserve">(Barak Obama, </w:t>
      </w:r>
      <w:r w:rsidRPr="00A04969">
        <w:rPr>
          <w:iCs/>
          <w:sz w:val="20"/>
          <w:szCs w:val="20"/>
          <w:lang w:val="en-US"/>
        </w:rPr>
        <w:t>November 5, 2009).</w:t>
      </w:r>
      <w:r w:rsidRPr="00A04969">
        <w:rPr>
          <w:i/>
          <w:iCs/>
          <w:sz w:val="20"/>
          <w:szCs w:val="20"/>
          <w:lang w:val="en-US"/>
        </w:rPr>
        <w:t xml:space="preserve"> </w:t>
      </w:r>
    </w:p>
  </w:footnote>
  <w:footnote w:id="29">
    <w:p w14:paraId="42398E86" w14:textId="1CCBC0BB"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U.S. Government, </w:t>
      </w:r>
      <w:r w:rsidRPr="00A04969">
        <w:rPr>
          <w:rFonts w:ascii="Times New Roman" w:eastAsia="Times New Roman" w:hAnsi="Times New Roman" w:cs="Times New Roman"/>
          <w:color w:val="000000"/>
          <w:sz w:val="20"/>
          <w:szCs w:val="20"/>
        </w:rPr>
        <w:t>Implementation Plan for the National Strategy for the Arctic Region (2014).</w:t>
      </w:r>
    </w:p>
  </w:footnote>
  <w:footnote w:id="30">
    <w:p w14:paraId="747CB99C" w14:textId="5B1BD29A" w:rsidR="00D43BBB" w:rsidRPr="00A04969" w:rsidRDefault="00D43BBB" w:rsidP="002420B7">
      <w:pPr>
        <w:widowControl w:val="0"/>
        <w:autoSpaceDE w:val="0"/>
        <w:autoSpaceDN w:val="0"/>
        <w:adjustRightInd w:val="0"/>
        <w:rPr>
          <w:sz w:val="20"/>
          <w:szCs w:val="20"/>
        </w:rPr>
      </w:pPr>
      <w:r w:rsidRPr="00A04969">
        <w:rPr>
          <w:rStyle w:val="FootnoteReference"/>
          <w:sz w:val="20"/>
          <w:szCs w:val="20"/>
        </w:rPr>
        <w:footnoteRef/>
      </w:r>
      <w:r w:rsidRPr="00A04969">
        <w:rPr>
          <w:sz w:val="20"/>
          <w:szCs w:val="20"/>
        </w:rPr>
        <w:t xml:space="preserve"> UNDRIP arts. </w:t>
      </w:r>
      <w:proofErr w:type="gramStart"/>
      <w:r w:rsidRPr="00A04969">
        <w:rPr>
          <w:sz w:val="20"/>
          <w:szCs w:val="20"/>
        </w:rPr>
        <w:t>10, 18, 19, 26, 28, 29, 32.</w:t>
      </w:r>
      <w:proofErr w:type="gramEnd"/>
    </w:p>
  </w:footnote>
  <w:footnote w:id="31">
    <w:p w14:paraId="6FE99592" w14:textId="29AA2C8C"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proofErr w:type="gramStart"/>
      <w:r w:rsidRPr="00A04969">
        <w:rPr>
          <w:rFonts w:ascii="Times New Roman" w:hAnsi="Times New Roman" w:cs="Times New Roman"/>
          <w:sz w:val="20"/>
          <w:szCs w:val="20"/>
        </w:rPr>
        <w:t>ILO No. 169 arts.</w:t>
      </w:r>
      <w:proofErr w:type="gramEnd"/>
      <w:r w:rsidRPr="00A04969">
        <w:rPr>
          <w:rFonts w:ascii="Times New Roman" w:hAnsi="Times New Roman" w:cs="Times New Roman"/>
          <w:sz w:val="20"/>
          <w:szCs w:val="20"/>
        </w:rPr>
        <w:t xml:space="preserve"> </w:t>
      </w:r>
      <w:proofErr w:type="gramStart"/>
      <w:r w:rsidRPr="00A04969">
        <w:rPr>
          <w:rFonts w:ascii="Times New Roman" w:hAnsi="Times New Roman" w:cs="Times New Roman"/>
          <w:sz w:val="20"/>
          <w:szCs w:val="20"/>
        </w:rPr>
        <w:t>6, 15, 17.</w:t>
      </w:r>
      <w:proofErr w:type="gramEnd"/>
      <w:r w:rsidRPr="00A04969">
        <w:rPr>
          <w:rFonts w:ascii="Times New Roman" w:hAnsi="Times New Roman" w:cs="Times New Roman"/>
          <w:sz w:val="20"/>
          <w:szCs w:val="20"/>
        </w:rPr>
        <w:t xml:space="preserve"> </w:t>
      </w:r>
    </w:p>
  </w:footnote>
  <w:footnote w:id="32">
    <w:p w14:paraId="6F1C04A3" w14:textId="77777777"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proofErr w:type="gramStart"/>
      <w:r w:rsidRPr="00A04969">
        <w:rPr>
          <w:rFonts w:ascii="Times New Roman" w:hAnsi="Times New Roman" w:cs="Times New Roman"/>
          <w:sz w:val="20"/>
          <w:szCs w:val="20"/>
        </w:rPr>
        <w:t>Convention on Biological Diversity, art.</w:t>
      </w:r>
      <w:proofErr w:type="gramEnd"/>
      <w:r w:rsidRPr="00A04969">
        <w:rPr>
          <w:rFonts w:ascii="Times New Roman" w:hAnsi="Times New Roman" w:cs="Times New Roman"/>
          <w:sz w:val="20"/>
          <w:szCs w:val="20"/>
        </w:rPr>
        <w:t xml:space="preserve"> </w:t>
      </w:r>
      <w:proofErr w:type="gramStart"/>
      <w:r w:rsidRPr="00A04969">
        <w:rPr>
          <w:rFonts w:ascii="Times New Roman" w:hAnsi="Times New Roman" w:cs="Times New Roman"/>
          <w:sz w:val="20"/>
          <w:szCs w:val="20"/>
        </w:rPr>
        <w:t>8(j), 1760 UNTS 79; 31 ILM 818 (1992).</w:t>
      </w:r>
      <w:proofErr w:type="gramEnd"/>
    </w:p>
  </w:footnote>
  <w:footnote w:id="33">
    <w:p w14:paraId="3DC8D617" w14:textId="5E6B5F8A"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Agenda 21: Programme of Action for Sustainable Development, U.N. GAOR, 46th Sess., Agenda Item 21, UN Doc A/Conf.151/26 (1992), § 26.</w:t>
      </w:r>
    </w:p>
  </w:footnote>
  <w:footnote w:id="34">
    <w:p w14:paraId="20EAD222" w14:textId="54980C89"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r w:rsidRPr="00A04969">
        <w:rPr>
          <w:rFonts w:ascii="Times New Roman" w:hAnsi="Times New Roman" w:cs="Times New Roman"/>
          <w:i/>
          <w:sz w:val="20"/>
          <w:szCs w:val="20"/>
        </w:rPr>
        <w:t>See, e.g.,</w:t>
      </w:r>
      <w:r w:rsidRPr="00A04969">
        <w:rPr>
          <w:rFonts w:ascii="Times New Roman" w:hAnsi="Times New Roman" w:cs="Times New Roman"/>
          <w:sz w:val="20"/>
          <w:szCs w:val="20"/>
        </w:rPr>
        <w:t xml:space="preserve"> </w:t>
      </w:r>
      <w:r w:rsidRPr="00A04969">
        <w:rPr>
          <w:rFonts w:ascii="Times New Roman" w:hAnsi="Times New Roman" w:cs="Times New Roman"/>
          <w:i/>
          <w:sz w:val="20"/>
          <w:szCs w:val="20"/>
        </w:rPr>
        <w:t>Case of the Kichwa Indigenous People of Sarayaku v. Ecuador</w:t>
      </w:r>
      <w:r w:rsidRPr="00A04969">
        <w:rPr>
          <w:rFonts w:ascii="Times New Roman" w:hAnsi="Times New Roman" w:cs="Times New Roman"/>
          <w:sz w:val="20"/>
          <w:szCs w:val="20"/>
        </w:rPr>
        <w:t>, Merits and Reparations, Judgment, Inter-Am. Ct. H.R. (ser. C) No. 242, ¶ 164 (June 27, 2012).</w:t>
      </w:r>
    </w:p>
  </w:footnote>
  <w:footnote w:id="35">
    <w:p w14:paraId="4125455A" w14:textId="33ECF2BD"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proofErr w:type="gramStart"/>
      <w:r w:rsidRPr="00A04969">
        <w:rPr>
          <w:rFonts w:ascii="Times New Roman" w:hAnsi="Times New Roman" w:cs="Times New Roman"/>
          <w:sz w:val="20"/>
          <w:szCs w:val="20"/>
        </w:rPr>
        <w:t>Edmonson, E.</w:t>
      </w:r>
      <w:proofErr w:type="gramEnd"/>
    </w:p>
  </w:footnote>
  <w:footnote w:id="36">
    <w:p w14:paraId="6B8C31FF" w14:textId="567B976E" w:rsidR="00D43BBB" w:rsidRPr="00A04969" w:rsidRDefault="00D43BBB" w:rsidP="002420B7">
      <w:pPr>
        <w:widowControl w:val="0"/>
        <w:autoSpaceDE w:val="0"/>
        <w:autoSpaceDN w:val="0"/>
        <w:adjustRightInd w:val="0"/>
        <w:rPr>
          <w:sz w:val="20"/>
          <w:szCs w:val="20"/>
        </w:rPr>
      </w:pPr>
      <w:r w:rsidRPr="00A04969">
        <w:rPr>
          <w:rStyle w:val="FootnoteReference"/>
          <w:sz w:val="20"/>
          <w:szCs w:val="20"/>
        </w:rPr>
        <w:footnoteRef/>
      </w:r>
      <w:r w:rsidRPr="00A04969">
        <w:rPr>
          <w:sz w:val="20"/>
          <w:szCs w:val="20"/>
        </w:rPr>
        <w:t xml:space="preserve"> </w:t>
      </w:r>
      <w:r w:rsidRPr="00A04969">
        <w:rPr>
          <w:i/>
          <w:sz w:val="20"/>
          <w:szCs w:val="20"/>
        </w:rPr>
        <w:t xml:space="preserve"> See also</w:t>
      </w:r>
      <w:r w:rsidRPr="00A04969">
        <w:rPr>
          <w:sz w:val="20"/>
          <w:szCs w:val="20"/>
        </w:rPr>
        <w:t xml:space="preserve"> Anaya, J., </w:t>
      </w:r>
      <w:r w:rsidRPr="00A04969">
        <w:rPr>
          <w:i/>
          <w:iCs/>
          <w:sz w:val="20"/>
          <w:szCs w:val="20"/>
        </w:rPr>
        <w:t>Indigenous Peoples’ Participatory Rights in Relation to Decisions About Natural</w:t>
      </w:r>
      <w:r w:rsidRPr="00A04969">
        <w:rPr>
          <w:sz w:val="20"/>
          <w:szCs w:val="20"/>
        </w:rPr>
        <w:t xml:space="preserve"> </w:t>
      </w:r>
      <w:r w:rsidRPr="00A04969">
        <w:rPr>
          <w:i/>
          <w:iCs/>
          <w:sz w:val="20"/>
          <w:szCs w:val="20"/>
        </w:rPr>
        <w:t>Resource Extraction: The More Fundamental Issue of What Rights Indigenous Peoples Have in Lands and Resources</w:t>
      </w:r>
      <w:r w:rsidRPr="00A04969">
        <w:rPr>
          <w:sz w:val="20"/>
          <w:szCs w:val="20"/>
        </w:rPr>
        <w:t>, 22 Arizona Journal of International and Comparative Law 7, 7 (2005).</w:t>
      </w:r>
    </w:p>
  </w:footnote>
  <w:footnote w:id="37">
    <w:p w14:paraId="7C67070F" w14:textId="43A5DA8C" w:rsidR="00D43BBB" w:rsidRPr="00A04969" w:rsidRDefault="00D43BBB" w:rsidP="002420B7">
      <w:pPr>
        <w:widowControl w:val="0"/>
        <w:autoSpaceDE w:val="0"/>
        <w:autoSpaceDN w:val="0"/>
        <w:adjustRightInd w:val="0"/>
        <w:rPr>
          <w:sz w:val="20"/>
          <w:szCs w:val="20"/>
          <w:lang w:val="en-US"/>
        </w:rPr>
      </w:pPr>
      <w:r w:rsidRPr="00A04969">
        <w:rPr>
          <w:rStyle w:val="FootnoteReference"/>
          <w:sz w:val="20"/>
          <w:szCs w:val="20"/>
        </w:rPr>
        <w:footnoteRef/>
      </w:r>
      <w:r w:rsidRPr="00A04969">
        <w:rPr>
          <w:sz w:val="20"/>
          <w:szCs w:val="20"/>
        </w:rPr>
        <w:t xml:space="preserve"> </w:t>
      </w:r>
      <w:r w:rsidRPr="00A04969">
        <w:rPr>
          <w:sz w:val="20"/>
          <w:szCs w:val="20"/>
          <w:lang w:val="en-US"/>
        </w:rPr>
        <w:t xml:space="preserve">U.N. Human Rights Council, Report of the Special Rapporteur on the Rights of Indigenous Peoples, U.N. Doc A/HRC/21/47, </w:t>
      </w:r>
      <w:r w:rsidRPr="00A04969">
        <w:rPr>
          <w:sz w:val="20"/>
          <w:szCs w:val="20"/>
        </w:rPr>
        <w:t xml:space="preserve">¶ 59 </w:t>
      </w:r>
      <w:r w:rsidRPr="00A04969">
        <w:rPr>
          <w:sz w:val="20"/>
          <w:szCs w:val="20"/>
          <w:lang w:val="en-US"/>
        </w:rPr>
        <w:t xml:space="preserve"> (July 6, 2012)</w:t>
      </w:r>
      <w:r w:rsidRPr="00A04969">
        <w:rPr>
          <w:sz w:val="20"/>
          <w:szCs w:val="20"/>
        </w:rPr>
        <w:t xml:space="preserve"> [hereinafter UNHRC 2012].</w:t>
      </w:r>
    </w:p>
  </w:footnote>
  <w:footnote w:id="38">
    <w:p w14:paraId="5DD370EE" w14:textId="751B25D2" w:rsidR="00D43BBB" w:rsidRPr="00A04969" w:rsidRDefault="00D43BBB" w:rsidP="002420B7">
      <w:pPr>
        <w:widowControl w:val="0"/>
        <w:autoSpaceDE w:val="0"/>
        <w:autoSpaceDN w:val="0"/>
        <w:adjustRightInd w:val="0"/>
        <w:rPr>
          <w:sz w:val="20"/>
          <w:szCs w:val="20"/>
        </w:rPr>
      </w:pPr>
      <w:r w:rsidRPr="00A04969">
        <w:rPr>
          <w:rStyle w:val="FootnoteReference"/>
          <w:sz w:val="20"/>
          <w:szCs w:val="20"/>
        </w:rPr>
        <w:footnoteRef/>
      </w:r>
      <w:r w:rsidRPr="00A04969">
        <w:rPr>
          <w:sz w:val="20"/>
          <w:szCs w:val="20"/>
        </w:rPr>
        <w:t xml:space="preserve"> </w:t>
      </w:r>
      <w:r w:rsidRPr="00A04969">
        <w:rPr>
          <w:i/>
          <w:iCs/>
          <w:sz w:val="20"/>
          <w:szCs w:val="20"/>
        </w:rPr>
        <w:t xml:space="preserve">See generally, </w:t>
      </w:r>
      <w:r w:rsidRPr="00A04969">
        <w:rPr>
          <w:sz w:val="20"/>
          <w:szCs w:val="20"/>
        </w:rPr>
        <w:t xml:space="preserve">U.N. Econ. &amp; Soc. Council, Economic, Social and Cultural Rights Norms on the Responsibilities of Transnational Corporations and Other Business Enterprises with Regard to Human Rights, U.N. Doc. E/CN.4/Sub.2/2003/12/Rev.2, 55th Sess. (Aug. 26, 2003). </w:t>
      </w:r>
    </w:p>
  </w:footnote>
  <w:footnote w:id="39">
    <w:p w14:paraId="7EBB53AB" w14:textId="5768DCE8"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r w:rsidRPr="00A04969">
        <w:rPr>
          <w:rFonts w:ascii="Times New Roman" w:hAnsi="Times New Roman" w:cs="Times New Roman"/>
          <w:i/>
          <w:sz w:val="20"/>
          <w:szCs w:val="20"/>
        </w:rPr>
        <w:t>See, e.g.,</w:t>
      </w:r>
      <w:r w:rsidRPr="00A04969">
        <w:rPr>
          <w:rFonts w:ascii="Times New Roman" w:hAnsi="Times New Roman" w:cs="Times New Roman"/>
          <w:sz w:val="20"/>
          <w:szCs w:val="20"/>
        </w:rPr>
        <w:t xml:space="preserve"> Arctic Council Sustainable Development Working Group, </w:t>
      </w:r>
      <w:r w:rsidRPr="00A04969">
        <w:rPr>
          <w:rFonts w:ascii="Times New Roman" w:eastAsia="Times New Roman" w:hAnsi="Times New Roman" w:cs="Times New Roman"/>
          <w:color w:val="000000"/>
          <w:sz w:val="20"/>
          <w:szCs w:val="20"/>
        </w:rPr>
        <w:t>Circumpolar Information Guide on Mining for Indigenous People and Northern Communities (2011) [hereinafter SDWG Mining Guide].</w:t>
      </w:r>
    </w:p>
  </w:footnote>
  <w:footnote w:id="40">
    <w:p w14:paraId="13A032BB" w14:textId="0D76F63A" w:rsidR="00D43BBB" w:rsidRPr="00A04969" w:rsidRDefault="00D43BBB" w:rsidP="002420B7">
      <w:pPr>
        <w:widowControl w:val="0"/>
        <w:autoSpaceDE w:val="0"/>
        <w:autoSpaceDN w:val="0"/>
        <w:adjustRightInd w:val="0"/>
        <w:rPr>
          <w:sz w:val="20"/>
          <w:szCs w:val="20"/>
        </w:rPr>
      </w:pPr>
      <w:r w:rsidRPr="00A04969">
        <w:rPr>
          <w:rStyle w:val="FootnoteReference"/>
          <w:sz w:val="20"/>
          <w:szCs w:val="20"/>
        </w:rPr>
        <w:footnoteRef/>
      </w:r>
      <w:r w:rsidRPr="00A04969">
        <w:rPr>
          <w:sz w:val="20"/>
          <w:szCs w:val="20"/>
        </w:rPr>
        <w:t xml:space="preserve"> The Northern forum recommends “resource development and business activities” to respect “cultural and traditional values and ways of life” and consult with Indigenous Peoples in resource decision-making process. Garipova, L.,</w:t>
      </w:r>
      <w:r w:rsidRPr="00A04969">
        <w:rPr>
          <w:bCs/>
          <w:sz w:val="20"/>
          <w:szCs w:val="20"/>
        </w:rPr>
        <w:t xml:space="preserve"> </w:t>
      </w:r>
      <w:r w:rsidRPr="00A04969">
        <w:rPr>
          <w:bCs/>
          <w:i/>
          <w:sz w:val="20"/>
          <w:szCs w:val="20"/>
        </w:rPr>
        <w:t>Corporate Social Responsibility in the Arctic</w:t>
      </w:r>
      <w:r w:rsidRPr="00A04969">
        <w:rPr>
          <w:sz w:val="20"/>
          <w:szCs w:val="20"/>
        </w:rPr>
        <w:t>, 104 Georgetown Law Journal 973, 984 (2015).</w:t>
      </w:r>
    </w:p>
  </w:footnote>
  <w:footnote w:id="41">
    <w:p w14:paraId="03C6E25D" w14:textId="14BBF353" w:rsidR="00D43BBB" w:rsidRPr="00A04969" w:rsidRDefault="00D43BBB" w:rsidP="002420B7">
      <w:pPr>
        <w:widowControl w:val="0"/>
        <w:autoSpaceDE w:val="0"/>
        <w:autoSpaceDN w:val="0"/>
        <w:adjustRightInd w:val="0"/>
        <w:rPr>
          <w:sz w:val="20"/>
          <w:szCs w:val="20"/>
        </w:rPr>
      </w:pPr>
      <w:r w:rsidRPr="00A04969">
        <w:rPr>
          <w:rStyle w:val="FootnoteReference"/>
          <w:sz w:val="20"/>
          <w:szCs w:val="20"/>
        </w:rPr>
        <w:footnoteRef/>
      </w:r>
      <w:r w:rsidRPr="00A04969">
        <w:rPr>
          <w:sz w:val="20"/>
          <w:szCs w:val="20"/>
        </w:rPr>
        <w:t xml:space="preserve"> The United Nations Global Compact, Principle 1. </w:t>
      </w:r>
      <w:r w:rsidRPr="00A04969">
        <w:rPr>
          <w:i/>
          <w:sz w:val="20"/>
          <w:szCs w:val="20"/>
        </w:rPr>
        <w:t>See also,</w:t>
      </w:r>
      <w:r w:rsidRPr="00A04969">
        <w:rPr>
          <w:sz w:val="20"/>
          <w:szCs w:val="20"/>
        </w:rPr>
        <w:t xml:space="preserve"> Lehr, A., Indigenous Peoples’ Rights and the Role of Free, Prior and Informed Consent: A Good Practice Note endorsed by the United Nations Global Compact Human Rights and Labour Working Group (Feb. 20, 2014) [hereinafter Global Compact Good Practice].</w:t>
      </w:r>
    </w:p>
  </w:footnote>
  <w:footnote w:id="42">
    <w:p w14:paraId="7FE6C6A0" w14:textId="4F8591C1" w:rsidR="00D43BBB" w:rsidRPr="00A04969" w:rsidRDefault="00D43BBB" w:rsidP="002420B7">
      <w:pPr>
        <w:widowControl w:val="0"/>
        <w:autoSpaceDE w:val="0"/>
        <w:autoSpaceDN w:val="0"/>
        <w:adjustRightInd w:val="0"/>
        <w:rPr>
          <w:sz w:val="20"/>
          <w:szCs w:val="20"/>
        </w:rPr>
      </w:pPr>
      <w:r w:rsidRPr="00A04969">
        <w:rPr>
          <w:rStyle w:val="FootnoteReference"/>
          <w:sz w:val="20"/>
          <w:szCs w:val="20"/>
        </w:rPr>
        <w:footnoteRef/>
      </w:r>
      <w:r w:rsidRPr="00A04969">
        <w:rPr>
          <w:sz w:val="20"/>
          <w:szCs w:val="20"/>
        </w:rPr>
        <w:t xml:space="preserve"> Guiding Principles, </w:t>
      </w:r>
      <w:r w:rsidRPr="00A04969">
        <w:rPr>
          <w:i/>
          <w:sz w:val="20"/>
          <w:szCs w:val="20"/>
        </w:rPr>
        <w:t>supra</w:t>
      </w:r>
      <w:r w:rsidRPr="00A04969">
        <w:rPr>
          <w:sz w:val="20"/>
          <w:szCs w:val="20"/>
        </w:rPr>
        <w:t xml:space="preserve"> n. </w:t>
      </w:r>
      <w:r w:rsidRPr="00A04969">
        <w:rPr>
          <w:sz w:val="20"/>
          <w:szCs w:val="20"/>
        </w:rPr>
        <w:fldChar w:fldCharType="begin"/>
      </w:r>
      <w:r w:rsidRPr="00A04969">
        <w:rPr>
          <w:sz w:val="20"/>
          <w:szCs w:val="20"/>
        </w:rPr>
        <w:instrText xml:space="preserve"> NOTEREF _Ref333307740 \h </w:instrText>
      </w:r>
      <w:r w:rsidRPr="00A04969">
        <w:rPr>
          <w:sz w:val="20"/>
          <w:szCs w:val="20"/>
        </w:rPr>
      </w:r>
      <w:r w:rsidRPr="00A04969">
        <w:rPr>
          <w:sz w:val="20"/>
          <w:szCs w:val="20"/>
        </w:rPr>
        <w:fldChar w:fldCharType="separate"/>
      </w:r>
      <w:r>
        <w:rPr>
          <w:sz w:val="20"/>
          <w:szCs w:val="20"/>
        </w:rPr>
        <w:t>11</w:t>
      </w:r>
      <w:r w:rsidRPr="00A04969">
        <w:rPr>
          <w:sz w:val="20"/>
          <w:szCs w:val="20"/>
        </w:rPr>
        <w:fldChar w:fldCharType="end"/>
      </w:r>
      <w:r w:rsidRPr="00A04969">
        <w:rPr>
          <w:sz w:val="20"/>
          <w:szCs w:val="20"/>
        </w:rPr>
        <w:t xml:space="preserve">. The Guiding Principles were endorsed by the UN Human Rights Council in Resolution 17/4 on human rights and transnational corporations and other business enterprises, UN Doc. A/HEC/17/L.17/Rev.1 (June 16, 2011). </w:t>
      </w:r>
    </w:p>
  </w:footnote>
  <w:footnote w:id="43">
    <w:p w14:paraId="535ED4D8" w14:textId="77777777"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proofErr w:type="gramStart"/>
      <w:r w:rsidRPr="00A04969">
        <w:rPr>
          <w:rFonts w:ascii="Times New Roman" w:hAnsi="Times New Roman" w:cs="Times New Roman"/>
          <w:sz w:val="20"/>
          <w:szCs w:val="20"/>
        </w:rPr>
        <w:t>OECD Guidelines for Multi-National Enterprises, OECD Publishing (2011).</w:t>
      </w:r>
      <w:proofErr w:type="gramEnd"/>
    </w:p>
  </w:footnote>
  <w:footnote w:id="44">
    <w:p w14:paraId="2E22A578" w14:textId="50394428" w:rsidR="00D43BBB" w:rsidRPr="00A04969" w:rsidRDefault="00D43BBB" w:rsidP="002420B7">
      <w:pPr>
        <w:widowControl w:val="0"/>
        <w:numPr>
          <w:ilvl w:val="0"/>
          <w:numId w:val="1"/>
        </w:numPr>
        <w:tabs>
          <w:tab w:val="left" w:pos="220"/>
          <w:tab w:val="left" w:pos="720"/>
        </w:tabs>
        <w:autoSpaceDE w:val="0"/>
        <w:autoSpaceDN w:val="0"/>
        <w:adjustRightInd w:val="0"/>
        <w:ind w:left="0" w:firstLine="0"/>
        <w:rPr>
          <w:b/>
          <w:bCs/>
          <w:position w:val="-3"/>
          <w:sz w:val="20"/>
          <w:szCs w:val="20"/>
          <w:lang w:val="en-US"/>
        </w:rPr>
      </w:pPr>
      <w:r w:rsidRPr="00A04969">
        <w:rPr>
          <w:rStyle w:val="FootnoteReference"/>
          <w:sz w:val="20"/>
          <w:szCs w:val="20"/>
        </w:rPr>
        <w:footnoteRef/>
      </w:r>
      <w:r w:rsidRPr="00A04969">
        <w:rPr>
          <w:sz w:val="20"/>
          <w:szCs w:val="20"/>
        </w:rPr>
        <w:t xml:space="preserve"> </w:t>
      </w:r>
      <w:r w:rsidRPr="00A04969">
        <w:rPr>
          <w:i/>
          <w:sz w:val="20"/>
          <w:szCs w:val="20"/>
        </w:rPr>
        <w:t>See, e.g</w:t>
      </w:r>
      <w:r w:rsidRPr="00A04969">
        <w:rPr>
          <w:sz w:val="20"/>
          <w:szCs w:val="20"/>
        </w:rPr>
        <w:t>., Mackenzie Valley Land and Water Board, Engagement and Consultation Policy at 10-11 (2013). [</w:t>
      </w:r>
      <w:proofErr w:type="gramStart"/>
      <w:r w:rsidRPr="00A04969">
        <w:rPr>
          <w:sz w:val="20"/>
          <w:szCs w:val="20"/>
        </w:rPr>
        <w:t>hereinafter</w:t>
      </w:r>
      <w:proofErr w:type="gramEnd"/>
      <w:r w:rsidRPr="00A04969">
        <w:rPr>
          <w:sz w:val="20"/>
          <w:szCs w:val="20"/>
        </w:rPr>
        <w:t xml:space="preserve"> MVLWB Policy]; </w:t>
      </w:r>
      <w:r w:rsidRPr="00A04969">
        <w:rPr>
          <w:bCs/>
          <w:sz w:val="20"/>
          <w:szCs w:val="20"/>
          <w:lang w:val="en-US"/>
        </w:rPr>
        <w:t xml:space="preserve">50 C.F.R. </w:t>
      </w:r>
      <w:r w:rsidRPr="00A04969">
        <w:rPr>
          <w:bCs/>
          <w:iCs/>
          <w:sz w:val="20"/>
          <w:szCs w:val="20"/>
          <w:lang w:val="en-US"/>
        </w:rPr>
        <w:t>§§</w:t>
      </w:r>
      <w:r w:rsidRPr="00A04969">
        <w:rPr>
          <w:bCs/>
          <w:i/>
          <w:iCs/>
          <w:sz w:val="20"/>
          <w:szCs w:val="20"/>
          <w:lang w:val="en-US"/>
        </w:rPr>
        <w:t xml:space="preserve"> </w:t>
      </w:r>
      <w:r w:rsidRPr="00A04969">
        <w:rPr>
          <w:bCs/>
          <w:sz w:val="20"/>
          <w:szCs w:val="20"/>
          <w:lang w:val="en-US"/>
        </w:rPr>
        <w:t>216.104(a)(12) &amp; 18.124 (U.S. regulations requiring “plan of cooperation.”)</w:t>
      </w:r>
      <w:r w:rsidRPr="00A04969">
        <w:rPr>
          <w:b/>
          <w:bCs/>
          <w:sz w:val="20"/>
          <w:szCs w:val="20"/>
          <w:lang w:val="en-US"/>
        </w:rPr>
        <w:t xml:space="preserve"> </w:t>
      </w:r>
    </w:p>
  </w:footnote>
  <w:footnote w:id="45">
    <w:p w14:paraId="3F2EEC00" w14:textId="3BBD1FC6" w:rsidR="00D43BBB" w:rsidRPr="00A04969" w:rsidRDefault="00D43BBB" w:rsidP="002420B7">
      <w:pPr>
        <w:widowControl w:val="0"/>
        <w:autoSpaceDE w:val="0"/>
        <w:autoSpaceDN w:val="0"/>
        <w:adjustRightInd w:val="0"/>
        <w:rPr>
          <w:sz w:val="20"/>
          <w:szCs w:val="20"/>
        </w:rPr>
      </w:pPr>
      <w:r w:rsidRPr="00A04969">
        <w:rPr>
          <w:rStyle w:val="FootnoteReference"/>
          <w:sz w:val="20"/>
          <w:szCs w:val="20"/>
        </w:rPr>
        <w:footnoteRef/>
      </w:r>
      <w:r w:rsidRPr="00A04969">
        <w:rPr>
          <w:sz w:val="20"/>
          <w:szCs w:val="20"/>
        </w:rPr>
        <w:t xml:space="preserve"> Poelzer, G., </w:t>
      </w:r>
      <w:r w:rsidRPr="00A04969">
        <w:rPr>
          <w:i/>
          <w:sz w:val="20"/>
          <w:szCs w:val="20"/>
        </w:rPr>
        <w:t>A Stake in Mining: Participatory Elements in Swedish Mine Development</w:t>
      </w:r>
      <w:r w:rsidRPr="00A04969">
        <w:rPr>
          <w:sz w:val="20"/>
          <w:szCs w:val="20"/>
        </w:rPr>
        <w:t>, 39 The Northern Review 39, 43 (2015) [hereinafter Poelzer 2015].</w:t>
      </w:r>
    </w:p>
  </w:footnote>
  <w:footnote w:id="46">
    <w:p w14:paraId="1786BB5E" w14:textId="20B5CDA8"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U.N. Human Rights Council, Report of the Special Rapporteur on the Rights of Indigenous Peoples, </w:t>
      </w:r>
      <w:r w:rsidRPr="00A04969">
        <w:rPr>
          <w:rFonts w:ascii="Times New Roman" w:hAnsi="Times New Roman" w:cs="Times New Roman"/>
          <w:iCs/>
          <w:sz w:val="20"/>
          <w:szCs w:val="20"/>
        </w:rPr>
        <w:t>Extractive Industries and Indigenous Peoples</w:t>
      </w:r>
      <w:r w:rsidRPr="00A04969">
        <w:rPr>
          <w:rFonts w:ascii="Times New Roman" w:hAnsi="Times New Roman" w:cs="Times New Roman"/>
          <w:sz w:val="20"/>
          <w:szCs w:val="20"/>
        </w:rPr>
        <w:t xml:space="preserve">, ¶ 54, U.N. Doc A/HRC/24/41 (July 1, 2013); Global Compact Good Practice, </w:t>
      </w:r>
      <w:r w:rsidRPr="00A04969">
        <w:rPr>
          <w:rFonts w:ascii="Times New Roman" w:hAnsi="Times New Roman" w:cs="Times New Roman"/>
          <w:i/>
          <w:sz w:val="20"/>
          <w:szCs w:val="20"/>
        </w:rPr>
        <w:t>supra</w:t>
      </w:r>
      <w:r w:rsidRPr="00A04969">
        <w:rPr>
          <w:rFonts w:ascii="Times New Roman" w:hAnsi="Times New Roman" w:cs="Times New Roman"/>
          <w:sz w:val="20"/>
          <w:szCs w:val="20"/>
        </w:rPr>
        <w:t xml:space="preserve"> n. </w:t>
      </w:r>
      <w:r w:rsidRPr="00A04969">
        <w:rPr>
          <w:rFonts w:ascii="Times New Roman" w:hAnsi="Times New Roman" w:cs="Times New Roman"/>
          <w:sz w:val="20"/>
          <w:szCs w:val="20"/>
        </w:rPr>
        <w:fldChar w:fldCharType="begin"/>
      </w:r>
      <w:r w:rsidRPr="00A04969">
        <w:rPr>
          <w:rFonts w:ascii="Times New Roman" w:hAnsi="Times New Roman" w:cs="Times New Roman"/>
          <w:sz w:val="20"/>
          <w:szCs w:val="20"/>
        </w:rPr>
        <w:instrText xml:space="preserve"> NOTEREF _Ref334080159 \h </w:instrText>
      </w:r>
      <w:r w:rsidRPr="00A04969">
        <w:rPr>
          <w:rFonts w:ascii="Times New Roman" w:hAnsi="Times New Roman" w:cs="Times New Roman"/>
          <w:sz w:val="20"/>
          <w:szCs w:val="20"/>
        </w:rPr>
      </w:r>
      <w:r w:rsidRPr="00A04969">
        <w:rPr>
          <w:rFonts w:ascii="Times New Roman" w:hAnsi="Times New Roman" w:cs="Times New Roman"/>
          <w:sz w:val="20"/>
          <w:szCs w:val="20"/>
        </w:rPr>
        <w:fldChar w:fldCharType="separate"/>
      </w:r>
      <w:r>
        <w:rPr>
          <w:rFonts w:ascii="Times New Roman" w:hAnsi="Times New Roman" w:cs="Times New Roman"/>
          <w:sz w:val="20"/>
          <w:szCs w:val="20"/>
        </w:rPr>
        <w:t>40</w:t>
      </w:r>
      <w:r w:rsidRPr="00A04969">
        <w:rPr>
          <w:rFonts w:ascii="Times New Roman" w:hAnsi="Times New Roman" w:cs="Times New Roman"/>
          <w:sz w:val="20"/>
          <w:szCs w:val="20"/>
        </w:rPr>
        <w:fldChar w:fldCharType="end"/>
      </w:r>
      <w:r w:rsidRPr="00A04969">
        <w:rPr>
          <w:rFonts w:ascii="Times New Roman" w:hAnsi="Times New Roman" w:cs="Times New Roman"/>
          <w:sz w:val="20"/>
          <w:szCs w:val="20"/>
        </w:rPr>
        <w:t xml:space="preserve"> at 13.</w:t>
      </w:r>
    </w:p>
  </w:footnote>
  <w:footnote w:id="47">
    <w:p w14:paraId="12111005" w14:textId="4930FFE9"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proofErr w:type="gramStart"/>
      <w:r w:rsidRPr="00A04969">
        <w:rPr>
          <w:rFonts w:ascii="Times New Roman" w:hAnsi="Times New Roman" w:cs="Times New Roman"/>
          <w:sz w:val="20"/>
          <w:szCs w:val="20"/>
        </w:rPr>
        <w:t>Ginoogaming First Nation, Resource Development Office, Consultation and Accommodation Protocol at 5 (2014) [hereinafter Ginoogaming Consultation Protocol].</w:t>
      </w:r>
      <w:proofErr w:type="gramEnd"/>
    </w:p>
  </w:footnote>
  <w:footnote w:id="48">
    <w:p w14:paraId="0D44A5F4" w14:textId="662AD728" w:rsidR="00D43BBB" w:rsidRPr="00A04969" w:rsidRDefault="00D43BBB" w:rsidP="002420B7">
      <w:pPr>
        <w:widowControl w:val="0"/>
        <w:autoSpaceDE w:val="0"/>
        <w:autoSpaceDN w:val="0"/>
        <w:adjustRightInd w:val="0"/>
        <w:rPr>
          <w:sz w:val="20"/>
          <w:szCs w:val="20"/>
        </w:rPr>
      </w:pPr>
      <w:r w:rsidRPr="00A04969">
        <w:rPr>
          <w:rStyle w:val="FootnoteReference"/>
          <w:sz w:val="20"/>
          <w:szCs w:val="20"/>
        </w:rPr>
        <w:footnoteRef/>
      </w:r>
      <w:r w:rsidRPr="00A04969">
        <w:rPr>
          <w:sz w:val="20"/>
          <w:szCs w:val="20"/>
        </w:rPr>
        <w:t xml:space="preserve"> </w:t>
      </w:r>
      <w:r w:rsidRPr="00A04969">
        <w:rPr>
          <w:color w:val="1A1A1A"/>
          <w:sz w:val="20"/>
          <w:szCs w:val="20"/>
        </w:rPr>
        <w:t xml:space="preserve">Espiritu, A., </w:t>
      </w:r>
      <w:proofErr w:type="spellStart"/>
      <w:r w:rsidRPr="00A04969">
        <w:rPr>
          <w:i/>
          <w:color w:val="1A1A1A"/>
          <w:sz w:val="20"/>
          <w:szCs w:val="20"/>
        </w:rPr>
        <w:t>Kautokeino</w:t>
      </w:r>
      <w:proofErr w:type="spellEnd"/>
      <w:r w:rsidRPr="00A04969">
        <w:rPr>
          <w:i/>
          <w:color w:val="1A1A1A"/>
          <w:sz w:val="20"/>
          <w:szCs w:val="20"/>
        </w:rPr>
        <w:t xml:space="preserve"> and </w:t>
      </w:r>
      <w:proofErr w:type="spellStart"/>
      <w:r w:rsidRPr="00A04969">
        <w:rPr>
          <w:i/>
          <w:color w:val="1A1A1A"/>
          <w:sz w:val="20"/>
          <w:szCs w:val="20"/>
        </w:rPr>
        <w:t>Kvaslund</w:t>
      </w:r>
      <w:proofErr w:type="spellEnd"/>
      <w:r w:rsidRPr="00A04969">
        <w:rPr>
          <w:i/>
          <w:color w:val="1A1A1A"/>
          <w:sz w:val="20"/>
          <w:szCs w:val="20"/>
        </w:rPr>
        <w:t xml:space="preserve"> Compared: Rejection and Acceptance of Mining in Communities in Northern Norway</w:t>
      </w:r>
      <w:r w:rsidRPr="00A04969">
        <w:rPr>
          <w:color w:val="1A1A1A"/>
          <w:sz w:val="20"/>
          <w:szCs w:val="20"/>
        </w:rPr>
        <w:t>, 39 The Northern Review 53, 60 (2015).</w:t>
      </w:r>
      <w:r w:rsidRPr="00A04969">
        <w:rPr>
          <w:sz w:val="20"/>
          <w:szCs w:val="20"/>
        </w:rPr>
        <w:t xml:space="preserve"> </w:t>
      </w:r>
    </w:p>
  </w:footnote>
  <w:footnote w:id="49">
    <w:p w14:paraId="19E56509" w14:textId="740AC6B4" w:rsidR="00D43BBB" w:rsidRPr="00A04969" w:rsidRDefault="00D43BBB" w:rsidP="002420B7">
      <w:pPr>
        <w:widowControl w:val="0"/>
        <w:autoSpaceDE w:val="0"/>
        <w:autoSpaceDN w:val="0"/>
        <w:adjustRightInd w:val="0"/>
        <w:rPr>
          <w:sz w:val="20"/>
          <w:szCs w:val="20"/>
        </w:rPr>
      </w:pPr>
      <w:r w:rsidRPr="00A04969">
        <w:rPr>
          <w:rStyle w:val="FootnoteReference"/>
          <w:sz w:val="20"/>
          <w:szCs w:val="20"/>
        </w:rPr>
        <w:footnoteRef/>
      </w:r>
      <w:r w:rsidRPr="00A04969">
        <w:rPr>
          <w:sz w:val="20"/>
          <w:szCs w:val="20"/>
        </w:rPr>
        <w:t xml:space="preserve"> </w:t>
      </w:r>
      <w:r w:rsidRPr="00A04969">
        <w:rPr>
          <w:iCs/>
          <w:sz w:val="20"/>
          <w:szCs w:val="20"/>
        </w:rPr>
        <w:t>Guiding Principles</w:t>
      </w:r>
      <w:r w:rsidRPr="00A04969">
        <w:rPr>
          <w:sz w:val="20"/>
          <w:szCs w:val="20"/>
        </w:rPr>
        <w:t xml:space="preserve">, </w:t>
      </w:r>
      <w:r w:rsidRPr="00A04969">
        <w:rPr>
          <w:i/>
          <w:sz w:val="20"/>
          <w:szCs w:val="20"/>
        </w:rPr>
        <w:t>supra</w:t>
      </w:r>
      <w:r w:rsidRPr="00A04969">
        <w:rPr>
          <w:sz w:val="20"/>
          <w:szCs w:val="20"/>
        </w:rPr>
        <w:t xml:space="preserve"> n. </w:t>
      </w:r>
      <w:r w:rsidRPr="00A04969">
        <w:rPr>
          <w:sz w:val="20"/>
          <w:szCs w:val="20"/>
        </w:rPr>
        <w:fldChar w:fldCharType="begin"/>
      </w:r>
      <w:r w:rsidRPr="00A04969">
        <w:rPr>
          <w:sz w:val="20"/>
          <w:szCs w:val="20"/>
        </w:rPr>
        <w:instrText xml:space="preserve"> NOTEREF _Ref333307740 \h </w:instrText>
      </w:r>
      <w:r w:rsidRPr="00A04969">
        <w:rPr>
          <w:sz w:val="20"/>
          <w:szCs w:val="20"/>
        </w:rPr>
      </w:r>
      <w:r w:rsidRPr="00A04969">
        <w:rPr>
          <w:sz w:val="20"/>
          <w:szCs w:val="20"/>
        </w:rPr>
        <w:fldChar w:fldCharType="separate"/>
      </w:r>
      <w:r>
        <w:rPr>
          <w:sz w:val="20"/>
          <w:szCs w:val="20"/>
        </w:rPr>
        <w:t>11</w:t>
      </w:r>
      <w:r w:rsidRPr="00A04969">
        <w:rPr>
          <w:sz w:val="20"/>
          <w:szCs w:val="20"/>
        </w:rPr>
        <w:fldChar w:fldCharType="end"/>
      </w:r>
      <w:r w:rsidRPr="00A04969">
        <w:rPr>
          <w:sz w:val="20"/>
          <w:szCs w:val="20"/>
        </w:rPr>
        <w:t xml:space="preserve">, ¶ 16; Global Compact Good Practices, </w:t>
      </w:r>
      <w:r w:rsidRPr="00A04969">
        <w:rPr>
          <w:i/>
          <w:sz w:val="20"/>
          <w:szCs w:val="20"/>
        </w:rPr>
        <w:t>supra</w:t>
      </w:r>
      <w:r w:rsidRPr="00A04969">
        <w:rPr>
          <w:sz w:val="20"/>
          <w:szCs w:val="20"/>
        </w:rPr>
        <w:t xml:space="preserve"> n. </w:t>
      </w:r>
      <w:r w:rsidRPr="00A04969">
        <w:rPr>
          <w:sz w:val="20"/>
          <w:szCs w:val="20"/>
        </w:rPr>
        <w:fldChar w:fldCharType="begin"/>
      </w:r>
      <w:r w:rsidRPr="00A04969">
        <w:rPr>
          <w:sz w:val="20"/>
          <w:szCs w:val="20"/>
        </w:rPr>
        <w:instrText xml:space="preserve"> NOTEREF _Ref334080159 \h </w:instrText>
      </w:r>
      <w:r w:rsidRPr="00A04969">
        <w:rPr>
          <w:sz w:val="20"/>
          <w:szCs w:val="20"/>
        </w:rPr>
      </w:r>
      <w:r w:rsidRPr="00A04969">
        <w:rPr>
          <w:sz w:val="20"/>
          <w:szCs w:val="20"/>
        </w:rPr>
        <w:fldChar w:fldCharType="separate"/>
      </w:r>
      <w:r>
        <w:rPr>
          <w:sz w:val="20"/>
          <w:szCs w:val="20"/>
        </w:rPr>
        <w:t>40</w:t>
      </w:r>
      <w:r w:rsidRPr="00A04969">
        <w:rPr>
          <w:sz w:val="20"/>
          <w:szCs w:val="20"/>
        </w:rPr>
        <w:fldChar w:fldCharType="end"/>
      </w:r>
      <w:r w:rsidRPr="00A04969">
        <w:rPr>
          <w:sz w:val="20"/>
          <w:szCs w:val="20"/>
        </w:rPr>
        <w:t xml:space="preserve"> at 10-11.</w:t>
      </w:r>
    </w:p>
  </w:footnote>
  <w:footnote w:id="50">
    <w:p w14:paraId="1061CD90" w14:textId="747CB303" w:rsidR="00D43BBB" w:rsidRPr="00A04969" w:rsidRDefault="00D43BBB" w:rsidP="002420B7">
      <w:pPr>
        <w:widowControl w:val="0"/>
        <w:autoSpaceDE w:val="0"/>
        <w:autoSpaceDN w:val="0"/>
        <w:adjustRightInd w:val="0"/>
        <w:rPr>
          <w:sz w:val="20"/>
          <w:szCs w:val="20"/>
        </w:rPr>
      </w:pPr>
      <w:r w:rsidRPr="00A04969">
        <w:rPr>
          <w:rStyle w:val="FootnoteReference"/>
          <w:sz w:val="20"/>
          <w:szCs w:val="20"/>
        </w:rPr>
        <w:footnoteRef/>
      </w:r>
      <w:r w:rsidRPr="00A04969">
        <w:rPr>
          <w:sz w:val="20"/>
          <w:szCs w:val="20"/>
        </w:rPr>
        <w:t xml:space="preserve"> </w:t>
      </w:r>
      <w:r w:rsidRPr="00A04969">
        <w:rPr>
          <w:iCs/>
          <w:sz w:val="20"/>
          <w:szCs w:val="20"/>
        </w:rPr>
        <w:t>Guiding Principles</w:t>
      </w:r>
      <w:r w:rsidRPr="00A04969">
        <w:rPr>
          <w:sz w:val="20"/>
          <w:szCs w:val="20"/>
        </w:rPr>
        <w:t xml:space="preserve">, </w:t>
      </w:r>
      <w:r w:rsidRPr="00A04969">
        <w:rPr>
          <w:i/>
          <w:sz w:val="20"/>
          <w:szCs w:val="20"/>
        </w:rPr>
        <w:t>supra</w:t>
      </w:r>
      <w:r w:rsidRPr="00A04969">
        <w:rPr>
          <w:sz w:val="20"/>
          <w:szCs w:val="20"/>
        </w:rPr>
        <w:t xml:space="preserve"> n. </w:t>
      </w:r>
      <w:r w:rsidRPr="00A04969">
        <w:rPr>
          <w:sz w:val="20"/>
          <w:szCs w:val="20"/>
        </w:rPr>
        <w:fldChar w:fldCharType="begin"/>
      </w:r>
      <w:r w:rsidRPr="00A04969">
        <w:rPr>
          <w:sz w:val="20"/>
          <w:szCs w:val="20"/>
        </w:rPr>
        <w:instrText xml:space="preserve"> NOTEREF _Ref333307740 \h </w:instrText>
      </w:r>
      <w:r w:rsidRPr="00A04969">
        <w:rPr>
          <w:sz w:val="20"/>
          <w:szCs w:val="20"/>
        </w:rPr>
      </w:r>
      <w:r w:rsidRPr="00A04969">
        <w:rPr>
          <w:sz w:val="20"/>
          <w:szCs w:val="20"/>
        </w:rPr>
        <w:fldChar w:fldCharType="separate"/>
      </w:r>
      <w:r>
        <w:rPr>
          <w:sz w:val="20"/>
          <w:szCs w:val="20"/>
        </w:rPr>
        <w:t>11</w:t>
      </w:r>
      <w:r w:rsidRPr="00A04969">
        <w:rPr>
          <w:sz w:val="20"/>
          <w:szCs w:val="20"/>
        </w:rPr>
        <w:fldChar w:fldCharType="end"/>
      </w:r>
      <w:r w:rsidRPr="00A04969">
        <w:rPr>
          <w:sz w:val="20"/>
          <w:szCs w:val="20"/>
        </w:rPr>
        <w:t>, ¶ 16.</w:t>
      </w:r>
    </w:p>
  </w:footnote>
  <w:footnote w:id="51">
    <w:p w14:paraId="1317B5C7" w14:textId="614C5C3C"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proofErr w:type="gramStart"/>
      <w:r w:rsidRPr="00A04969">
        <w:rPr>
          <w:rFonts w:ascii="Times New Roman" w:hAnsi="Times New Roman" w:cs="Times New Roman"/>
          <w:sz w:val="20"/>
          <w:szCs w:val="20"/>
        </w:rPr>
        <w:t xml:space="preserve">Global Compact Good Practices, </w:t>
      </w:r>
      <w:r w:rsidRPr="00A04969">
        <w:rPr>
          <w:rFonts w:ascii="Times New Roman" w:hAnsi="Times New Roman" w:cs="Times New Roman"/>
          <w:i/>
          <w:sz w:val="20"/>
          <w:szCs w:val="20"/>
        </w:rPr>
        <w:t>supra</w:t>
      </w:r>
      <w:r w:rsidRPr="00A04969">
        <w:rPr>
          <w:rFonts w:ascii="Times New Roman" w:hAnsi="Times New Roman" w:cs="Times New Roman"/>
          <w:sz w:val="20"/>
          <w:szCs w:val="20"/>
        </w:rPr>
        <w:t xml:space="preserve"> n. </w:t>
      </w:r>
      <w:r w:rsidRPr="00A04969">
        <w:rPr>
          <w:rFonts w:ascii="Times New Roman" w:hAnsi="Times New Roman" w:cs="Times New Roman"/>
          <w:sz w:val="20"/>
          <w:szCs w:val="20"/>
        </w:rPr>
        <w:fldChar w:fldCharType="begin"/>
      </w:r>
      <w:r w:rsidRPr="00A04969">
        <w:rPr>
          <w:rFonts w:ascii="Times New Roman" w:hAnsi="Times New Roman" w:cs="Times New Roman"/>
          <w:sz w:val="20"/>
          <w:szCs w:val="20"/>
        </w:rPr>
        <w:instrText xml:space="preserve"> NOTEREF _Ref334080159 \h </w:instrText>
      </w:r>
      <w:r w:rsidRPr="00A04969">
        <w:rPr>
          <w:rFonts w:ascii="Times New Roman" w:hAnsi="Times New Roman" w:cs="Times New Roman"/>
          <w:sz w:val="20"/>
          <w:szCs w:val="20"/>
        </w:rPr>
      </w:r>
      <w:r w:rsidRPr="00A04969">
        <w:rPr>
          <w:rFonts w:ascii="Times New Roman" w:hAnsi="Times New Roman" w:cs="Times New Roman"/>
          <w:sz w:val="20"/>
          <w:szCs w:val="20"/>
        </w:rPr>
        <w:fldChar w:fldCharType="separate"/>
      </w:r>
      <w:r>
        <w:rPr>
          <w:rFonts w:ascii="Times New Roman" w:hAnsi="Times New Roman" w:cs="Times New Roman"/>
          <w:sz w:val="20"/>
          <w:szCs w:val="20"/>
        </w:rPr>
        <w:t>40</w:t>
      </w:r>
      <w:r w:rsidRPr="00A04969">
        <w:rPr>
          <w:rFonts w:ascii="Times New Roman" w:hAnsi="Times New Roman" w:cs="Times New Roman"/>
          <w:sz w:val="20"/>
          <w:szCs w:val="20"/>
        </w:rPr>
        <w:fldChar w:fldCharType="end"/>
      </w:r>
      <w:r w:rsidRPr="00A04969">
        <w:rPr>
          <w:rFonts w:ascii="Times New Roman" w:hAnsi="Times New Roman" w:cs="Times New Roman"/>
          <w:sz w:val="20"/>
          <w:szCs w:val="20"/>
        </w:rPr>
        <w:t xml:space="preserve"> at 11.</w:t>
      </w:r>
      <w:proofErr w:type="gramEnd"/>
    </w:p>
  </w:footnote>
  <w:footnote w:id="52">
    <w:p w14:paraId="0FA54A12" w14:textId="449440E4" w:rsidR="00D43BBB" w:rsidRPr="00A04969" w:rsidRDefault="00D43BBB" w:rsidP="002420B7">
      <w:pPr>
        <w:widowControl w:val="0"/>
        <w:autoSpaceDE w:val="0"/>
        <w:autoSpaceDN w:val="0"/>
        <w:adjustRightInd w:val="0"/>
        <w:rPr>
          <w:sz w:val="20"/>
          <w:szCs w:val="20"/>
        </w:rPr>
      </w:pPr>
      <w:r w:rsidRPr="00A04969">
        <w:rPr>
          <w:rStyle w:val="FootnoteReference"/>
          <w:sz w:val="20"/>
          <w:szCs w:val="20"/>
        </w:rPr>
        <w:footnoteRef/>
      </w:r>
      <w:r w:rsidRPr="00A04969">
        <w:rPr>
          <w:sz w:val="20"/>
          <w:szCs w:val="20"/>
        </w:rPr>
        <w:t xml:space="preserve"> </w:t>
      </w:r>
      <w:r w:rsidRPr="00A04969">
        <w:rPr>
          <w:i/>
          <w:iCs/>
          <w:sz w:val="20"/>
          <w:szCs w:val="20"/>
        </w:rPr>
        <w:t>Id.</w:t>
      </w:r>
      <w:r w:rsidRPr="00A04969">
        <w:rPr>
          <w:sz w:val="20"/>
          <w:szCs w:val="20"/>
        </w:rPr>
        <w:t xml:space="preserve">; </w:t>
      </w:r>
      <w:r w:rsidRPr="00A04969">
        <w:rPr>
          <w:i/>
          <w:iCs/>
          <w:sz w:val="20"/>
          <w:szCs w:val="20"/>
        </w:rPr>
        <w:t xml:space="preserve">see also </w:t>
      </w:r>
      <w:r w:rsidRPr="00A04969">
        <w:rPr>
          <w:sz w:val="20"/>
          <w:szCs w:val="20"/>
        </w:rPr>
        <w:t>The Corporate Responsibility to Respect Human Rights</w:t>
      </w:r>
      <w:r w:rsidRPr="00A04969">
        <w:rPr>
          <w:i/>
          <w:sz w:val="20"/>
          <w:szCs w:val="20"/>
        </w:rPr>
        <w:t xml:space="preserve"> supra</w:t>
      </w:r>
      <w:r w:rsidRPr="00A04969">
        <w:rPr>
          <w:sz w:val="20"/>
          <w:szCs w:val="20"/>
        </w:rPr>
        <w:t xml:space="preserve"> n. </w:t>
      </w:r>
      <w:r w:rsidRPr="00A04969">
        <w:rPr>
          <w:sz w:val="20"/>
          <w:szCs w:val="20"/>
        </w:rPr>
        <w:fldChar w:fldCharType="begin"/>
      </w:r>
      <w:r w:rsidRPr="00A04969">
        <w:rPr>
          <w:sz w:val="20"/>
          <w:szCs w:val="20"/>
        </w:rPr>
        <w:instrText xml:space="preserve"> NOTEREF _Ref334083691 \h </w:instrText>
      </w:r>
      <w:r w:rsidRPr="00A04969">
        <w:rPr>
          <w:sz w:val="20"/>
          <w:szCs w:val="20"/>
        </w:rPr>
      </w:r>
      <w:r w:rsidRPr="00A04969">
        <w:rPr>
          <w:sz w:val="20"/>
          <w:szCs w:val="20"/>
        </w:rPr>
        <w:fldChar w:fldCharType="separate"/>
      </w:r>
      <w:r>
        <w:rPr>
          <w:sz w:val="20"/>
          <w:szCs w:val="20"/>
        </w:rPr>
        <w:t>8</w:t>
      </w:r>
      <w:r w:rsidRPr="00A04969">
        <w:rPr>
          <w:sz w:val="20"/>
          <w:szCs w:val="20"/>
        </w:rPr>
        <w:fldChar w:fldCharType="end"/>
      </w:r>
      <w:r w:rsidRPr="00A04969">
        <w:rPr>
          <w:sz w:val="20"/>
          <w:szCs w:val="20"/>
        </w:rPr>
        <w:t xml:space="preserve"> at 26-27.</w:t>
      </w:r>
    </w:p>
  </w:footnote>
  <w:footnote w:id="53">
    <w:p w14:paraId="21A24FF0" w14:textId="5AD6F627" w:rsidR="00D43BBB" w:rsidRPr="00A04969" w:rsidRDefault="00D43BBB" w:rsidP="002420B7">
      <w:pPr>
        <w:rPr>
          <w:rFonts w:eastAsia="Times New Roman"/>
          <w:color w:val="000000"/>
          <w:sz w:val="20"/>
          <w:szCs w:val="20"/>
          <w:lang w:val="en-US"/>
        </w:rPr>
      </w:pPr>
      <w:r w:rsidRPr="00A04969">
        <w:rPr>
          <w:rStyle w:val="FootnoteReference"/>
          <w:sz w:val="20"/>
          <w:szCs w:val="20"/>
        </w:rPr>
        <w:footnoteRef/>
      </w:r>
      <w:r w:rsidRPr="00A04969">
        <w:rPr>
          <w:sz w:val="20"/>
          <w:szCs w:val="20"/>
        </w:rPr>
        <w:t xml:space="preserve"> Global Environment Facility, </w:t>
      </w:r>
      <w:r w:rsidRPr="00A04969">
        <w:rPr>
          <w:rFonts w:eastAsia="Times New Roman"/>
          <w:color w:val="000000"/>
          <w:sz w:val="20"/>
          <w:szCs w:val="20"/>
          <w:lang w:val="en-US"/>
        </w:rPr>
        <w:t>Principles and Guidelines for Engagement with Indigenous Peoples. (</w:t>
      </w:r>
      <w:proofErr w:type="spellStart"/>
      <w:r w:rsidRPr="00A04969">
        <w:rPr>
          <w:rFonts w:eastAsia="Times New Roman"/>
          <w:color w:val="000000"/>
          <w:sz w:val="20"/>
          <w:szCs w:val="20"/>
          <w:lang w:val="en-US"/>
        </w:rPr>
        <w:t>n.d.</w:t>
      </w:r>
      <w:proofErr w:type="spellEnd"/>
      <w:r w:rsidRPr="00A04969">
        <w:rPr>
          <w:rFonts w:eastAsia="Times New Roman"/>
          <w:color w:val="000000"/>
          <w:sz w:val="20"/>
          <w:szCs w:val="20"/>
          <w:lang w:val="en-US"/>
        </w:rPr>
        <w:t>) [</w:t>
      </w:r>
      <w:proofErr w:type="gramStart"/>
      <w:r w:rsidRPr="00A04969">
        <w:rPr>
          <w:rFonts w:eastAsia="Times New Roman"/>
          <w:color w:val="000000"/>
          <w:sz w:val="20"/>
          <w:szCs w:val="20"/>
          <w:lang w:val="en-US"/>
        </w:rPr>
        <w:t>hereinafter</w:t>
      </w:r>
      <w:proofErr w:type="gramEnd"/>
      <w:r w:rsidRPr="00A04969">
        <w:rPr>
          <w:rFonts w:eastAsia="Times New Roman"/>
          <w:color w:val="000000"/>
          <w:sz w:val="20"/>
          <w:szCs w:val="20"/>
          <w:lang w:val="en-US"/>
        </w:rPr>
        <w:t xml:space="preserve"> GEF Principles].</w:t>
      </w:r>
    </w:p>
  </w:footnote>
  <w:footnote w:id="54">
    <w:p w14:paraId="1A32955E" w14:textId="03D0F2C4"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International Finance Corporation, Stakeholder Engagement: A Good Practice Handbook for Companies Doing Business in Emerging Markets (2007) [hereinafter IFC Good Practice Handbook].</w:t>
      </w:r>
    </w:p>
  </w:footnote>
  <w:footnote w:id="55">
    <w:p w14:paraId="1FE441B1" w14:textId="449631B1"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World Bank Operations Manual, OP 4.10 Indigenous Peoples (April 2013).</w:t>
      </w:r>
    </w:p>
  </w:footnote>
  <w:footnote w:id="56">
    <w:p w14:paraId="4F97D496" w14:textId="737D39E0" w:rsidR="00D43BBB" w:rsidRPr="00A04969" w:rsidRDefault="00D43BBB" w:rsidP="002420B7">
      <w:pPr>
        <w:widowControl w:val="0"/>
        <w:autoSpaceDE w:val="0"/>
        <w:autoSpaceDN w:val="0"/>
        <w:adjustRightInd w:val="0"/>
        <w:rPr>
          <w:sz w:val="20"/>
          <w:szCs w:val="20"/>
          <w:lang w:val="en-US"/>
        </w:rPr>
      </w:pPr>
      <w:r w:rsidRPr="00A04969">
        <w:rPr>
          <w:rStyle w:val="FootnoteReference"/>
          <w:sz w:val="20"/>
          <w:szCs w:val="20"/>
        </w:rPr>
        <w:footnoteRef/>
      </w:r>
      <w:r w:rsidRPr="00A04969">
        <w:rPr>
          <w:sz w:val="20"/>
          <w:szCs w:val="20"/>
        </w:rPr>
        <w:t xml:space="preserve"> International Funders for Indigenous Peoples, </w:t>
      </w:r>
      <w:r w:rsidRPr="00A04969">
        <w:rPr>
          <w:sz w:val="20"/>
          <w:szCs w:val="20"/>
          <w:lang w:val="en-US"/>
        </w:rPr>
        <w:t>Funding Indigenous Peoples: Strategies for Support</w:t>
      </w:r>
      <w:r w:rsidRPr="00A04969">
        <w:rPr>
          <w:sz w:val="20"/>
          <w:szCs w:val="20"/>
        </w:rPr>
        <w:t xml:space="preserve"> (2015) [hereinafter IFIP Strategies for Support].</w:t>
      </w:r>
    </w:p>
  </w:footnote>
  <w:footnote w:id="57">
    <w:p w14:paraId="17B3A3A8" w14:textId="753F4931" w:rsidR="00D43BBB" w:rsidRPr="00A04969" w:rsidRDefault="00D43BBB" w:rsidP="002420B7">
      <w:pPr>
        <w:widowControl w:val="0"/>
        <w:autoSpaceDE w:val="0"/>
        <w:autoSpaceDN w:val="0"/>
        <w:adjustRightInd w:val="0"/>
        <w:rPr>
          <w:sz w:val="20"/>
          <w:szCs w:val="20"/>
          <w:lang w:val="en-US"/>
        </w:rPr>
      </w:pPr>
      <w:r w:rsidRPr="00A04969">
        <w:rPr>
          <w:rStyle w:val="FootnoteReference"/>
          <w:sz w:val="20"/>
          <w:szCs w:val="20"/>
        </w:rPr>
        <w:footnoteRef/>
      </w:r>
      <w:r w:rsidRPr="00A04969">
        <w:rPr>
          <w:sz w:val="20"/>
          <w:szCs w:val="20"/>
        </w:rPr>
        <w:t xml:space="preserve"> </w:t>
      </w:r>
      <w:r w:rsidRPr="00A04969">
        <w:rPr>
          <w:sz w:val="20"/>
          <w:szCs w:val="20"/>
          <w:lang w:val="en-US"/>
        </w:rPr>
        <w:t xml:space="preserve">North Pacific Research Board, 2014 Request </w:t>
      </w:r>
      <w:proofErr w:type="gramStart"/>
      <w:r w:rsidRPr="00A04969">
        <w:rPr>
          <w:sz w:val="20"/>
          <w:szCs w:val="20"/>
          <w:lang w:val="en-US"/>
        </w:rPr>
        <w:t>For</w:t>
      </w:r>
      <w:proofErr w:type="gramEnd"/>
      <w:r w:rsidRPr="00A04969">
        <w:rPr>
          <w:sz w:val="20"/>
          <w:szCs w:val="20"/>
          <w:lang w:val="en-US"/>
        </w:rPr>
        <w:t xml:space="preserve"> Proposals (2013).</w:t>
      </w:r>
    </w:p>
  </w:footnote>
  <w:footnote w:id="58">
    <w:p w14:paraId="70A8BDD4" w14:textId="09DD3948" w:rsidR="00D43BBB" w:rsidRPr="00A04969" w:rsidRDefault="00D43BBB" w:rsidP="002420B7">
      <w:pPr>
        <w:rPr>
          <w:rFonts w:eastAsia="Times New Roman"/>
          <w:color w:val="000000"/>
          <w:sz w:val="20"/>
          <w:szCs w:val="20"/>
          <w:lang w:val="en-US"/>
        </w:rPr>
      </w:pPr>
      <w:r w:rsidRPr="00A04969">
        <w:rPr>
          <w:rStyle w:val="FootnoteReference"/>
          <w:sz w:val="20"/>
          <w:szCs w:val="20"/>
        </w:rPr>
        <w:footnoteRef/>
      </w:r>
      <w:r w:rsidRPr="00A04969">
        <w:rPr>
          <w:sz w:val="20"/>
          <w:szCs w:val="20"/>
        </w:rPr>
        <w:t xml:space="preserve"> </w:t>
      </w:r>
      <w:r w:rsidRPr="00A04969">
        <w:rPr>
          <w:rFonts w:eastAsia="Times New Roman"/>
          <w:color w:val="000000"/>
          <w:sz w:val="20"/>
          <w:szCs w:val="20"/>
          <w:lang w:val="en-US"/>
        </w:rPr>
        <w:t>U.S. Interagency Arctic Research Policy Committee, Principles for the Conduct of Research in the Arctic [hereinafter IARPC Principles].</w:t>
      </w:r>
    </w:p>
  </w:footnote>
  <w:footnote w:id="59">
    <w:p w14:paraId="3D697C81" w14:textId="4DC80815"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Indigenous Peoples and Conservation: WWF Statement of Principles (2008) [hereinafter WWF Principles].</w:t>
      </w:r>
    </w:p>
  </w:footnote>
  <w:footnote w:id="60">
    <w:p w14:paraId="17DC5201" w14:textId="648EFBD6"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proofErr w:type="gramStart"/>
      <w:r w:rsidRPr="00A04969">
        <w:rPr>
          <w:rFonts w:ascii="Times New Roman" w:hAnsi="Times New Roman" w:cs="Times New Roman"/>
          <w:sz w:val="20"/>
          <w:szCs w:val="20"/>
        </w:rPr>
        <w:t>IUCN Environmental and Social Management Systems Standard on Indigenous Peoples (2016) [hereinafter IUCN Standard].</w:t>
      </w:r>
      <w:proofErr w:type="gramEnd"/>
    </w:p>
  </w:footnote>
  <w:footnote w:id="61">
    <w:p w14:paraId="3D623600" w14:textId="0F8CC07F" w:rsidR="00D43BBB" w:rsidRPr="00A04969" w:rsidRDefault="00D43BBB" w:rsidP="002420B7">
      <w:pPr>
        <w:widowControl w:val="0"/>
        <w:autoSpaceDE w:val="0"/>
        <w:autoSpaceDN w:val="0"/>
        <w:adjustRightInd w:val="0"/>
        <w:rPr>
          <w:sz w:val="20"/>
          <w:szCs w:val="20"/>
          <w:lang w:val="en-US"/>
        </w:rPr>
      </w:pPr>
      <w:r w:rsidRPr="00A04969">
        <w:rPr>
          <w:rStyle w:val="FootnoteReference"/>
          <w:sz w:val="20"/>
          <w:szCs w:val="20"/>
        </w:rPr>
        <w:footnoteRef/>
      </w:r>
      <w:r w:rsidRPr="00A04969">
        <w:rPr>
          <w:sz w:val="20"/>
          <w:szCs w:val="20"/>
        </w:rPr>
        <w:t xml:space="preserve"> CI, </w:t>
      </w:r>
      <w:r w:rsidRPr="00A04969">
        <w:rPr>
          <w:bCs/>
          <w:sz w:val="20"/>
          <w:szCs w:val="20"/>
          <w:lang w:val="en-US"/>
        </w:rPr>
        <w:t>Indigenous Peoples And Conservation International: Principles For Partnerships (n.d.) [hereinafter CI Principles].</w:t>
      </w:r>
    </w:p>
  </w:footnote>
  <w:footnote w:id="62">
    <w:p w14:paraId="4D4171B9" w14:textId="571FF9D9" w:rsidR="00D43BBB" w:rsidRPr="00A04969" w:rsidRDefault="00D43BBB" w:rsidP="002420B7">
      <w:pPr>
        <w:rPr>
          <w:rFonts w:eastAsia="Times New Roman"/>
          <w:color w:val="000000"/>
          <w:sz w:val="20"/>
          <w:szCs w:val="20"/>
          <w:lang w:val="en-US"/>
        </w:rPr>
      </w:pPr>
      <w:r w:rsidRPr="00A04969">
        <w:rPr>
          <w:rStyle w:val="FootnoteReference"/>
          <w:sz w:val="20"/>
          <w:szCs w:val="20"/>
        </w:rPr>
        <w:footnoteRef/>
      </w:r>
      <w:r w:rsidRPr="00A04969">
        <w:rPr>
          <w:sz w:val="20"/>
          <w:szCs w:val="20"/>
        </w:rPr>
        <w:t xml:space="preserve"> </w:t>
      </w:r>
      <w:r w:rsidRPr="00A04969">
        <w:rPr>
          <w:color w:val="1A1A1A"/>
          <w:sz w:val="20"/>
          <w:szCs w:val="20"/>
        </w:rPr>
        <w:t xml:space="preserve">Akwé Kon: Voluntary Guidelines, </w:t>
      </w:r>
      <w:r w:rsidRPr="00A04969">
        <w:rPr>
          <w:i/>
          <w:color w:val="1A1A1A"/>
          <w:sz w:val="20"/>
          <w:szCs w:val="20"/>
        </w:rPr>
        <w:t>supra</w:t>
      </w:r>
      <w:r w:rsidRPr="00A04969">
        <w:rPr>
          <w:color w:val="1A1A1A"/>
          <w:sz w:val="20"/>
          <w:szCs w:val="20"/>
        </w:rPr>
        <w:t xml:space="preserve"> n. </w:t>
      </w:r>
      <w:r w:rsidRPr="00A04969">
        <w:rPr>
          <w:color w:val="1A1A1A"/>
          <w:sz w:val="20"/>
          <w:szCs w:val="20"/>
        </w:rPr>
        <w:fldChar w:fldCharType="begin"/>
      </w:r>
      <w:r w:rsidRPr="00A04969">
        <w:rPr>
          <w:color w:val="1A1A1A"/>
          <w:sz w:val="20"/>
          <w:szCs w:val="20"/>
        </w:rPr>
        <w:instrText xml:space="preserve"> NOTEREF _Ref333348796 \h </w:instrText>
      </w:r>
      <w:r w:rsidRPr="00A04969">
        <w:rPr>
          <w:color w:val="1A1A1A"/>
          <w:sz w:val="20"/>
          <w:szCs w:val="20"/>
        </w:rPr>
      </w:r>
      <w:r w:rsidRPr="00A04969">
        <w:rPr>
          <w:color w:val="1A1A1A"/>
          <w:sz w:val="20"/>
          <w:szCs w:val="20"/>
        </w:rPr>
        <w:fldChar w:fldCharType="separate"/>
      </w:r>
      <w:r>
        <w:rPr>
          <w:color w:val="1A1A1A"/>
          <w:sz w:val="20"/>
          <w:szCs w:val="20"/>
        </w:rPr>
        <w:t>13</w:t>
      </w:r>
      <w:r w:rsidRPr="00A04969">
        <w:rPr>
          <w:color w:val="1A1A1A"/>
          <w:sz w:val="20"/>
          <w:szCs w:val="20"/>
        </w:rPr>
        <w:fldChar w:fldCharType="end"/>
      </w:r>
      <w:r w:rsidRPr="00A04969">
        <w:rPr>
          <w:color w:val="1A1A1A"/>
          <w:sz w:val="20"/>
          <w:szCs w:val="20"/>
        </w:rPr>
        <w:t xml:space="preserve">; </w:t>
      </w:r>
      <w:r w:rsidRPr="00A04969">
        <w:rPr>
          <w:rFonts w:eastAsia="Times New Roman"/>
          <w:color w:val="000000"/>
          <w:sz w:val="20"/>
          <w:szCs w:val="20"/>
          <w:lang w:val="en-US"/>
        </w:rPr>
        <w:t xml:space="preserve">UNDP and Indigenous Peoples: A Policy of Engagement (n.d.). </w:t>
      </w:r>
    </w:p>
  </w:footnote>
  <w:footnote w:id="63">
    <w:p w14:paraId="1868F623" w14:textId="628C1B15" w:rsidR="00D43BBB" w:rsidRPr="00A04969" w:rsidRDefault="00D43BBB" w:rsidP="002420B7">
      <w:pPr>
        <w:rPr>
          <w:rFonts w:eastAsia="Times New Roman"/>
          <w:color w:val="000000"/>
          <w:sz w:val="20"/>
          <w:szCs w:val="20"/>
          <w:lang w:val="en-US"/>
        </w:rPr>
      </w:pPr>
      <w:r w:rsidRPr="00A04969">
        <w:rPr>
          <w:rStyle w:val="FootnoteReference"/>
          <w:sz w:val="20"/>
          <w:szCs w:val="20"/>
        </w:rPr>
        <w:footnoteRef/>
      </w:r>
      <w:r w:rsidRPr="00A04969">
        <w:rPr>
          <w:sz w:val="20"/>
          <w:szCs w:val="20"/>
        </w:rPr>
        <w:t xml:space="preserve"> Exec. Order No. 13175, </w:t>
      </w:r>
      <w:r w:rsidRPr="00A04969">
        <w:rPr>
          <w:bCs/>
          <w:i/>
          <w:sz w:val="20"/>
          <w:szCs w:val="20"/>
        </w:rPr>
        <w:t>supra</w:t>
      </w:r>
      <w:r w:rsidRPr="00A04969">
        <w:rPr>
          <w:bCs/>
          <w:sz w:val="20"/>
          <w:szCs w:val="20"/>
        </w:rPr>
        <w:t xml:space="preserve"> n. </w:t>
      </w:r>
      <w:r w:rsidRPr="00A04969">
        <w:rPr>
          <w:bCs/>
          <w:sz w:val="20"/>
          <w:szCs w:val="20"/>
        </w:rPr>
        <w:fldChar w:fldCharType="begin"/>
      </w:r>
      <w:r w:rsidRPr="00A04969">
        <w:rPr>
          <w:bCs/>
          <w:sz w:val="20"/>
          <w:szCs w:val="20"/>
        </w:rPr>
        <w:instrText xml:space="preserve"> NOTEREF _Ref333993101 \h </w:instrText>
      </w:r>
      <w:r w:rsidRPr="00A04969">
        <w:rPr>
          <w:bCs/>
          <w:sz w:val="20"/>
          <w:szCs w:val="20"/>
        </w:rPr>
      </w:r>
      <w:r w:rsidRPr="00A04969">
        <w:rPr>
          <w:bCs/>
          <w:sz w:val="20"/>
          <w:szCs w:val="20"/>
        </w:rPr>
        <w:fldChar w:fldCharType="separate"/>
      </w:r>
      <w:r>
        <w:rPr>
          <w:bCs/>
          <w:sz w:val="20"/>
          <w:szCs w:val="20"/>
        </w:rPr>
        <w:t>7</w:t>
      </w:r>
      <w:r w:rsidRPr="00A04969">
        <w:rPr>
          <w:bCs/>
          <w:sz w:val="20"/>
          <w:szCs w:val="20"/>
        </w:rPr>
        <w:fldChar w:fldCharType="end"/>
      </w:r>
      <w:r w:rsidRPr="00A04969">
        <w:rPr>
          <w:sz w:val="20"/>
          <w:szCs w:val="20"/>
        </w:rPr>
        <w:t xml:space="preserve"> (stating “federal agencies should defer to Alaska Native tribes to establish standards for consultation”); Anaya, </w:t>
      </w:r>
      <w:r w:rsidRPr="00A04969">
        <w:rPr>
          <w:i/>
          <w:sz w:val="20"/>
          <w:szCs w:val="20"/>
        </w:rPr>
        <w:t>supra</w:t>
      </w:r>
      <w:r w:rsidRPr="00A04969">
        <w:rPr>
          <w:sz w:val="20"/>
          <w:szCs w:val="20"/>
        </w:rPr>
        <w:t xml:space="preserve"> n. </w:t>
      </w:r>
      <w:r w:rsidRPr="00A04969">
        <w:rPr>
          <w:sz w:val="20"/>
          <w:szCs w:val="20"/>
        </w:rPr>
        <w:fldChar w:fldCharType="begin"/>
      </w:r>
      <w:r w:rsidRPr="00A04969">
        <w:rPr>
          <w:sz w:val="20"/>
          <w:szCs w:val="20"/>
        </w:rPr>
        <w:instrText xml:space="preserve"> NOTEREF _Ref334080664 \h </w:instrText>
      </w:r>
      <w:r w:rsidRPr="00A04969">
        <w:rPr>
          <w:sz w:val="20"/>
          <w:szCs w:val="20"/>
        </w:rPr>
      </w:r>
      <w:r w:rsidRPr="00A04969">
        <w:rPr>
          <w:sz w:val="20"/>
          <w:szCs w:val="20"/>
        </w:rPr>
        <w:fldChar w:fldCharType="separate"/>
      </w:r>
      <w:r>
        <w:rPr>
          <w:sz w:val="20"/>
          <w:szCs w:val="20"/>
        </w:rPr>
        <w:t>35</w:t>
      </w:r>
      <w:r w:rsidRPr="00A04969">
        <w:rPr>
          <w:sz w:val="20"/>
          <w:szCs w:val="20"/>
        </w:rPr>
        <w:fldChar w:fldCharType="end"/>
      </w:r>
      <w:r w:rsidRPr="00A04969">
        <w:rPr>
          <w:sz w:val="20"/>
          <w:szCs w:val="20"/>
        </w:rPr>
        <w:t xml:space="preserve"> at 11;</w:t>
      </w:r>
      <w:r w:rsidRPr="00A04969">
        <w:rPr>
          <w:rFonts w:eastAsia="Times New Roman"/>
          <w:color w:val="000000"/>
          <w:sz w:val="20"/>
          <w:szCs w:val="20"/>
        </w:rPr>
        <w:t xml:space="preserve"> </w:t>
      </w:r>
      <w:r w:rsidRPr="00A04969">
        <w:rPr>
          <w:rFonts w:eastAsia="Times New Roman"/>
          <w:color w:val="000000"/>
          <w:sz w:val="20"/>
          <w:szCs w:val="20"/>
          <w:lang w:val="en-US"/>
        </w:rPr>
        <w:t xml:space="preserve">A Circumpolar Inuit Declaration on Resource Development Principles in Inuit </w:t>
      </w:r>
      <w:proofErr w:type="spellStart"/>
      <w:r w:rsidRPr="00A04969">
        <w:rPr>
          <w:rFonts w:eastAsia="Times New Roman"/>
          <w:color w:val="000000"/>
          <w:sz w:val="20"/>
          <w:szCs w:val="20"/>
          <w:lang w:val="en-US"/>
        </w:rPr>
        <w:t>Nunaat</w:t>
      </w:r>
      <w:proofErr w:type="spellEnd"/>
      <w:r w:rsidRPr="00A04969">
        <w:rPr>
          <w:rFonts w:eastAsia="Times New Roman"/>
          <w:color w:val="000000"/>
          <w:sz w:val="20"/>
          <w:szCs w:val="20"/>
          <w:lang w:val="en-US"/>
        </w:rPr>
        <w:t xml:space="preserve"> [hereinafter ICC Resource Development Declaration].</w:t>
      </w:r>
    </w:p>
  </w:footnote>
  <w:footnote w:id="64">
    <w:p w14:paraId="5CC34B75" w14:textId="148D17A3" w:rsidR="00D43BBB" w:rsidRPr="00A04969" w:rsidRDefault="00D43BBB" w:rsidP="002420B7">
      <w:pPr>
        <w:rPr>
          <w:sz w:val="20"/>
          <w:szCs w:val="20"/>
        </w:rPr>
      </w:pPr>
      <w:r w:rsidRPr="00A04969">
        <w:rPr>
          <w:rStyle w:val="FootnoteReference"/>
          <w:sz w:val="20"/>
          <w:szCs w:val="20"/>
        </w:rPr>
        <w:footnoteRef/>
      </w:r>
      <w:r w:rsidRPr="00A04969">
        <w:rPr>
          <w:sz w:val="20"/>
          <w:szCs w:val="20"/>
        </w:rPr>
        <w:t xml:space="preserve"> Broderstad, E., </w:t>
      </w:r>
      <w:proofErr w:type="gramStart"/>
      <w:r w:rsidRPr="00A04969">
        <w:rPr>
          <w:i/>
          <w:sz w:val="20"/>
          <w:szCs w:val="20"/>
        </w:rPr>
        <w:t>The</w:t>
      </w:r>
      <w:proofErr w:type="gramEnd"/>
      <w:r w:rsidRPr="00A04969">
        <w:rPr>
          <w:i/>
          <w:sz w:val="20"/>
          <w:szCs w:val="20"/>
        </w:rPr>
        <w:t xml:space="preserve"> Finnmark Estate</w:t>
      </w:r>
      <w:r w:rsidRPr="00A04969">
        <w:rPr>
          <w:sz w:val="20"/>
          <w:szCs w:val="20"/>
        </w:rPr>
        <w:t>, 39 The Northern Review</w:t>
      </w:r>
      <w:r w:rsidRPr="00A04969">
        <w:rPr>
          <w:iCs/>
          <w:sz w:val="20"/>
          <w:szCs w:val="20"/>
        </w:rPr>
        <w:t xml:space="preserve"> 8,</w:t>
      </w:r>
      <w:r w:rsidRPr="00A04969">
        <w:rPr>
          <w:sz w:val="20"/>
          <w:szCs w:val="20"/>
        </w:rPr>
        <w:t xml:space="preserve"> 12 (2015).</w:t>
      </w:r>
    </w:p>
  </w:footnote>
  <w:footnote w:id="65">
    <w:p w14:paraId="50D86B1B" w14:textId="063D83DA" w:rsidR="00D43BBB" w:rsidRPr="00A04969" w:rsidRDefault="00D43BBB" w:rsidP="002420B7">
      <w:pPr>
        <w:widowControl w:val="0"/>
        <w:autoSpaceDE w:val="0"/>
        <w:autoSpaceDN w:val="0"/>
        <w:adjustRightInd w:val="0"/>
        <w:rPr>
          <w:sz w:val="20"/>
          <w:szCs w:val="20"/>
          <w:lang w:val="en-US"/>
        </w:rPr>
      </w:pPr>
      <w:r w:rsidRPr="00A04969">
        <w:rPr>
          <w:rStyle w:val="FootnoteReference"/>
          <w:sz w:val="20"/>
          <w:szCs w:val="20"/>
        </w:rPr>
        <w:footnoteRef/>
      </w:r>
      <w:r w:rsidRPr="00A04969">
        <w:rPr>
          <w:sz w:val="20"/>
          <w:szCs w:val="20"/>
        </w:rPr>
        <w:t xml:space="preserve"> </w:t>
      </w:r>
      <w:proofErr w:type="gramStart"/>
      <w:r w:rsidRPr="00A04969">
        <w:rPr>
          <w:sz w:val="20"/>
          <w:szCs w:val="20"/>
        </w:rPr>
        <w:t xml:space="preserve">INAC Aboriginal Input, </w:t>
      </w:r>
      <w:r w:rsidRPr="00A04969">
        <w:rPr>
          <w:i/>
          <w:sz w:val="20"/>
          <w:szCs w:val="20"/>
        </w:rPr>
        <w:t xml:space="preserve">supra </w:t>
      </w:r>
      <w:r w:rsidRPr="00A04969">
        <w:rPr>
          <w:sz w:val="20"/>
          <w:szCs w:val="20"/>
        </w:rPr>
        <w:t xml:space="preserve">n. </w:t>
      </w:r>
      <w:r w:rsidRPr="00A04969">
        <w:rPr>
          <w:sz w:val="20"/>
          <w:szCs w:val="20"/>
        </w:rPr>
        <w:fldChar w:fldCharType="begin"/>
      </w:r>
      <w:r w:rsidRPr="00A04969">
        <w:rPr>
          <w:sz w:val="20"/>
          <w:szCs w:val="20"/>
        </w:rPr>
        <w:instrText xml:space="preserve"> NOTEREF _Ref333995682 \h </w:instrText>
      </w:r>
      <w:r w:rsidRPr="00A04969">
        <w:rPr>
          <w:sz w:val="20"/>
          <w:szCs w:val="20"/>
        </w:rPr>
      </w:r>
      <w:r w:rsidRPr="00A04969">
        <w:rPr>
          <w:sz w:val="20"/>
          <w:szCs w:val="20"/>
        </w:rPr>
        <w:fldChar w:fldCharType="separate"/>
      </w:r>
      <w:r>
        <w:rPr>
          <w:sz w:val="20"/>
          <w:szCs w:val="20"/>
        </w:rPr>
        <w:t>6</w:t>
      </w:r>
      <w:r w:rsidRPr="00A04969">
        <w:rPr>
          <w:sz w:val="20"/>
          <w:szCs w:val="20"/>
        </w:rPr>
        <w:fldChar w:fldCharType="end"/>
      </w:r>
      <w:r w:rsidRPr="00A04969">
        <w:rPr>
          <w:bCs/>
          <w:position w:val="2"/>
          <w:sz w:val="20"/>
          <w:szCs w:val="20"/>
          <w:lang w:val="en-US"/>
        </w:rPr>
        <w:t>.</w:t>
      </w:r>
      <w:proofErr w:type="gramEnd"/>
    </w:p>
  </w:footnote>
  <w:footnote w:id="66">
    <w:p w14:paraId="4B32C10A" w14:textId="77777777"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National Association of Tribal Historic Preservation Officers, Tribal Consultation: Best Practices in Historic Preservation (2005) at 11 [hereinafter Best Practices in Historic Preservation].</w:t>
      </w:r>
    </w:p>
  </w:footnote>
  <w:footnote w:id="67">
    <w:p w14:paraId="13705B34" w14:textId="408147D7"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Advancing an Indigenous Framework for Consultation and Accommodation in BC, Report On Key Findings Of The BC First Nations Consultation And Accommodation Working Group at 20 (The First Nations Leadership Council, 2013).</w:t>
      </w:r>
    </w:p>
  </w:footnote>
  <w:footnote w:id="68">
    <w:p w14:paraId="5F567600" w14:textId="73759B8D"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proofErr w:type="gramStart"/>
      <w:r w:rsidRPr="00A04969">
        <w:rPr>
          <w:rFonts w:ascii="Times New Roman" w:hAnsi="Times New Roman" w:cs="Times New Roman"/>
          <w:sz w:val="20"/>
          <w:szCs w:val="20"/>
        </w:rPr>
        <w:t>Hul’qumi’num Member First Nations and Hul’quim’num Treaty Group Consultation Policy (2006) [hereinafter Hul’qumi’num Consultation Policy].</w:t>
      </w:r>
      <w:proofErr w:type="gramEnd"/>
    </w:p>
  </w:footnote>
  <w:footnote w:id="69">
    <w:p w14:paraId="5070B08A" w14:textId="4247145A"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r w:rsidRPr="00A04969">
        <w:rPr>
          <w:rFonts w:ascii="Times New Roman" w:hAnsi="Times New Roman" w:cs="Times New Roman"/>
          <w:i/>
          <w:sz w:val="20"/>
          <w:szCs w:val="20"/>
        </w:rPr>
        <w:t>Id.</w:t>
      </w:r>
    </w:p>
  </w:footnote>
  <w:footnote w:id="70">
    <w:p w14:paraId="13FAB200" w14:textId="5CE62FB3" w:rsidR="00D43BBB" w:rsidRPr="00A04969" w:rsidRDefault="00D43BBB" w:rsidP="002420B7">
      <w:pPr>
        <w:widowControl w:val="0"/>
        <w:autoSpaceDE w:val="0"/>
        <w:autoSpaceDN w:val="0"/>
        <w:adjustRightInd w:val="0"/>
        <w:rPr>
          <w:sz w:val="20"/>
          <w:szCs w:val="20"/>
          <w:lang w:val="en-US"/>
        </w:rPr>
      </w:pPr>
      <w:r w:rsidRPr="00A04969">
        <w:rPr>
          <w:rStyle w:val="FootnoteReference"/>
          <w:sz w:val="20"/>
          <w:szCs w:val="20"/>
        </w:rPr>
        <w:footnoteRef/>
      </w:r>
      <w:r w:rsidRPr="00A04969">
        <w:rPr>
          <w:sz w:val="20"/>
          <w:szCs w:val="20"/>
        </w:rPr>
        <w:t xml:space="preserve"> </w:t>
      </w:r>
      <w:proofErr w:type="gramStart"/>
      <w:r w:rsidRPr="00A04969">
        <w:rPr>
          <w:i/>
          <w:sz w:val="20"/>
          <w:szCs w:val="20"/>
        </w:rPr>
        <w:t>See, e.g</w:t>
      </w:r>
      <w:r w:rsidRPr="00A04969">
        <w:rPr>
          <w:sz w:val="20"/>
          <w:szCs w:val="20"/>
        </w:rPr>
        <w:t xml:space="preserve">., </w:t>
      </w:r>
      <w:proofErr w:type="spellStart"/>
      <w:r w:rsidRPr="00A04969">
        <w:rPr>
          <w:sz w:val="20"/>
          <w:szCs w:val="20"/>
        </w:rPr>
        <w:t>Ginoogaming</w:t>
      </w:r>
      <w:proofErr w:type="spellEnd"/>
      <w:r w:rsidRPr="00A04969">
        <w:rPr>
          <w:sz w:val="20"/>
          <w:szCs w:val="20"/>
        </w:rPr>
        <w:t xml:space="preserve"> Consultation Protocol, </w:t>
      </w:r>
      <w:r w:rsidRPr="00A04969">
        <w:rPr>
          <w:i/>
          <w:sz w:val="20"/>
          <w:szCs w:val="20"/>
        </w:rPr>
        <w:t>supra</w:t>
      </w:r>
      <w:r w:rsidRPr="00A04969">
        <w:rPr>
          <w:sz w:val="20"/>
          <w:szCs w:val="20"/>
        </w:rPr>
        <w:t xml:space="preserve"> n. </w:t>
      </w:r>
      <w:r w:rsidRPr="00A04969">
        <w:rPr>
          <w:sz w:val="20"/>
          <w:szCs w:val="20"/>
        </w:rPr>
        <w:fldChar w:fldCharType="begin"/>
      </w:r>
      <w:r w:rsidRPr="00A04969">
        <w:rPr>
          <w:sz w:val="20"/>
          <w:szCs w:val="20"/>
        </w:rPr>
        <w:instrText xml:space="preserve"> NOTEREF _Ref333999948 \h </w:instrText>
      </w:r>
      <w:r w:rsidRPr="00A04969">
        <w:rPr>
          <w:sz w:val="20"/>
          <w:szCs w:val="20"/>
        </w:rPr>
      </w:r>
      <w:r w:rsidRPr="00A04969">
        <w:rPr>
          <w:sz w:val="20"/>
          <w:szCs w:val="20"/>
        </w:rPr>
        <w:fldChar w:fldCharType="separate"/>
      </w:r>
      <w:r>
        <w:rPr>
          <w:sz w:val="20"/>
          <w:szCs w:val="20"/>
        </w:rPr>
        <w:t>46</w:t>
      </w:r>
      <w:r w:rsidRPr="00A04969">
        <w:rPr>
          <w:sz w:val="20"/>
          <w:szCs w:val="20"/>
        </w:rPr>
        <w:fldChar w:fldCharType="end"/>
      </w:r>
      <w:r w:rsidRPr="00A04969">
        <w:rPr>
          <w:sz w:val="20"/>
          <w:szCs w:val="20"/>
        </w:rPr>
        <w:t xml:space="preserve">; </w:t>
      </w:r>
      <w:proofErr w:type="spellStart"/>
      <w:r w:rsidRPr="00A04969">
        <w:rPr>
          <w:sz w:val="20"/>
          <w:szCs w:val="20"/>
        </w:rPr>
        <w:t>Taykwa</w:t>
      </w:r>
      <w:proofErr w:type="spellEnd"/>
      <w:r w:rsidRPr="00A04969">
        <w:rPr>
          <w:sz w:val="20"/>
          <w:szCs w:val="20"/>
        </w:rPr>
        <w:t xml:space="preserve"> </w:t>
      </w:r>
      <w:proofErr w:type="spellStart"/>
      <w:r w:rsidRPr="00A04969">
        <w:rPr>
          <w:sz w:val="20"/>
          <w:szCs w:val="20"/>
        </w:rPr>
        <w:t>Tagamou</w:t>
      </w:r>
      <w:proofErr w:type="spellEnd"/>
      <w:r w:rsidRPr="00A04969">
        <w:rPr>
          <w:sz w:val="20"/>
          <w:szCs w:val="20"/>
        </w:rPr>
        <w:t xml:space="preserve"> Nation Community Consultation Protocol (2011).</w:t>
      </w:r>
      <w:proofErr w:type="gramEnd"/>
    </w:p>
  </w:footnote>
  <w:footnote w:id="71">
    <w:p w14:paraId="6A1E9E0E" w14:textId="112CC264"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Exploration in Nitassinan: A Matter of Respect: Innu Nation Guidelines for the Mining Industry (n.d.).</w:t>
      </w:r>
    </w:p>
  </w:footnote>
  <w:footnote w:id="72">
    <w:p w14:paraId="77B4D6C1" w14:textId="60C822F3"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r w:rsidRPr="00A04969">
        <w:rPr>
          <w:rFonts w:ascii="Times New Roman" w:hAnsi="Times New Roman" w:cs="Times New Roman"/>
          <w:bCs/>
          <w:kern w:val="36"/>
          <w:sz w:val="20"/>
          <w:szCs w:val="20"/>
        </w:rPr>
        <w:t>Alaska Federation of Natives Guidelines for Research (1993) [hereinafter AFN Guidelines].</w:t>
      </w:r>
    </w:p>
  </w:footnote>
  <w:footnote w:id="73">
    <w:p w14:paraId="55A332B2" w14:textId="16B51C7F"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In This Place: A Guide for those who work in the Country of Kaktovikmiut (n.d.) [hereinafter In This Place].</w:t>
      </w:r>
    </w:p>
  </w:footnote>
  <w:footnote w:id="74">
    <w:p w14:paraId="3A56A145" w14:textId="6323C737"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r w:rsidRPr="00A04969">
        <w:rPr>
          <w:rFonts w:ascii="Times New Roman" w:hAnsi="Times New Roman" w:cs="Times New Roman"/>
          <w:i/>
          <w:sz w:val="20"/>
          <w:szCs w:val="20"/>
        </w:rPr>
        <w:t>See, e.g.,</w:t>
      </w:r>
      <w:r w:rsidRPr="00A04969">
        <w:rPr>
          <w:rFonts w:ascii="Times New Roman" w:hAnsi="Times New Roman" w:cs="Times New Roman"/>
          <w:sz w:val="20"/>
          <w:szCs w:val="20"/>
        </w:rPr>
        <w:t xml:space="preserve"> Inuit </w:t>
      </w:r>
      <w:proofErr w:type="spellStart"/>
      <w:r w:rsidRPr="00A04969">
        <w:rPr>
          <w:rFonts w:ascii="Times New Roman" w:hAnsi="Times New Roman" w:cs="Times New Roman"/>
          <w:sz w:val="20"/>
          <w:szCs w:val="20"/>
        </w:rPr>
        <w:t>Tapiriit</w:t>
      </w:r>
      <w:proofErr w:type="spellEnd"/>
      <w:r w:rsidRPr="00A04969">
        <w:rPr>
          <w:rFonts w:ascii="Times New Roman" w:hAnsi="Times New Roman" w:cs="Times New Roman"/>
          <w:sz w:val="20"/>
          <w:szCs w:val="20"/>
        </w:rPr>
        <w:t xml:space="preserve"> </w:t>
      </w:r>
      <w:proofErr w:type="spellStart"/>
      <w:r w:rsidRPr="00A04969">
        <w:rPr>
          <w:rFonts w:ascii="Times New Roman" w:hAnsi="Times New Roman" w:cs="Times New Roman"/>
          <w:sz w:val="20"/>
          <w:szCs w:val="20"/>
        </w:rPr>
        <w:t>Kanatami</w:t>
      </w:r>
      <w:proofErr w:type="spellEnd"/>
      <w:r w:rsidRPr="00A04969">
        <w:rPr>
          <w:rFonts w:ascii="Times New Roman" w:hAnsi="Times New Roman" w:cs="Times New Roman"/>
          <w:sz w:val="20"/>
          <w:szCs w:val="20"/>
        </w:rPr>
        <w:t>, Negotiating Research Relationships: A Guide for Communities (1998) [hereinafter ITK Guide for Communities].</w:t>
      </w:r>
    </w:p>
  </w:footnote>
  <w:footnote w:id="75">
    <w:p w14:paraId="2DF21FD3" w14:textId="5433BB0C"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Manitoba Metis Federation, Understanding Resolution 8. </w:t>
      </w:r>
      <w:proofErr w:type="gramStart"/>
      <w:r w:rsidRPr="00A04969">
        <w:rPr>
          <w:rFonts w:ascii="Times New Roman" w:hAnsi="Times New Roman" w:cs="Times New Roman"/>
          <w:sz w:val="20"/>
          <w:szCs w:val="20"/>
        </w:rPr>
        <w:t>Tripartite Government Negotiations (n.d.).</w:t>
      </w:r>
      <w:proofErr w:type="gramEnd"/>
      <w:r w:rsidRPr="00A04969">
        <w:rPr>
          <w:rFonts w:ascii="Times New Roman" w:hAnsi="Times New Roman" w:cs="Times New Roman"/>
          <w:sz w:val="20"/>
          <w:szCs w:val="20"/>
        </w:rPr>
        <w:t xml:space="preserve"> </w:t>
      </w:r>
    </w:p>
  </w:footnote>
  <w:footnote w:id="76">
    <w:p w14:paraId="7B3C2F99" w14:textId="77777777" w:rsidR="00D43BBB" w:rsidRPr="00A04969" w:rsidRDefault="00D43BBB" w:rsidP="002420B7">
      <w:pPr>
        <w:widowControl w:val="0"/>
        <w:numPr>
          <w:ilvl w:val="0"/>
          <w:numId w:val="1"/>
        </w:numPr>
        <w:tabs>
          <w:tab w:val="left" w:pos="220"/>
          <w:tab w:val="left" w:pos="720"/>
        </w:tabs>
        <w:autoSpaceDE w:val="0"/>
        <w:autoSpaceDN w:val="0"/>
        <w:adjustRightInd w:val="0"/>
        <w:ind w:left="0" w:firstLine="0"/>
        <w:rPr>
          <w:sz w:val="20"/>
          <w:szCs w:val="20"/>
        </w:rPr>
      </w:pPr>
      <w:r w:rsidRPr="00A04969">
        <w:rPr>
          <w:rStyle w:val="FootnoteReference"/>
          <w:sz w:val="20"/>
          <w:szCs w:val="20"/>
        </w:rPr>
        <w:footnoteRef/>
      </w:r>
      <w:r w:rsidRPr="00A04969">
        <w:rPr>
          <w:sz w:val="20"/>
          <w:szCs w:val="20"/>
        </w:rPr>
        <w:t xml:space="preserve"> </w:t>
      </w:r>
      <w:r w:rsidRPr="00A04969">
        <w:rPr>
          <w:i/>
          <w:sz w:val="20"/>
          <w:szCs w:val="20"/>
        </w:rPr>
        <w:t>See, e.g.,</w:t>
      </w:r>
      <w:r w:rsidRPr="00A04969">
        <w:rPr>
          <w:sz w:val="20"/>
          <w:szCs w:val="20"/>
        </w:rPr>
        <w:t xml:space="preserve"> Eeyou Marine Region Land Claims Agreement Act, S.C. 2011. </w:t>
      </w:r>
    </w:p>
  </w:footnote>
  <w:footnote w:id="77">
    <w:p w14:paraId="4EFB0488" w14:textId="5EE8CDAF" w:rsidR="00D43BBB" w:rsidRPr="00A04969" w:rsidRDefault="00D43BBB" w:rsidP="002420B7">
      <w:pPr>
        <w:widowControl w:val="0"/>
        <w:numPr>
          <w:ilvl w:val="0"/>
          <w:numId w:val="1"/>
        </w:numPr>
        <w:tabs>
          <w:tab w:val="left" w:pos="90"/>
          <w:tab w:val="left" w:pos="220"/>
        </w:tabs>
        <w:autoSpaceDE w:val="0"/>
        <w:autoSpaceDN w:val="0"/>
        <w:adjustRightInd w:val="0"/>
        <w:ind w:left="0" w:firstLine="0"/>
        <w:rPr>
          <w:sz w:val="20"/>
          <w:szCs w:val="20"/>
        </w:rPr>
      </w:pPr>
      <w:r w:rsidRPr="00A04969">
        <w:rPr>
          <w:rStyle w:val="FootnoteReference"/>
          <w:sz w:val="20"/>
          <w:szCs w:val="20"/>
        </w:rPr>
        <w:footnoteRef/>
      </w:r>
      <w:r w:rsidRPr="00A04969">
        <w:rPr>
          <w:sz w:val="20"/>
          <w:szCs w:val="20"/>
        </w:rPr>
        <w:t xml:space="preserve"> INAC Guidelines, </w:t>
      </w:r>
      <w:r w:rsidRPr="00A04969">
        <w:rPr>
          <w:i/>
          <w:sz w:val="20"/>
          <w:szCs w:val="20"/>
        </w:rPr>
        <w:t>supra</w:t>
      </w:r>
      <w:r w:rsidRPr="00A04969">
        <w:rPr>
          <w:sz w:val="20"/>
          <w:szCs w:val="20"/>
        </w:rPr>
        <w:t xml:space="preserve"> n. </w:t>
      </w:r>
      <w:r w:rsidRPr="00A04969">
        <w:rPr>
          <w:sz w:val="20"/>
          <w:szCs w:val="20"/>
        </w:rPr>
        <w:fldChar w:fldCharType="begin"/>
      </w:r>
      <w:r w:rsidRPr="00A04969">
        <w:rPr>
          <w:sz w:val="20"/>
          <w:szCs w:val="20"/>
        </w:rPr>
        <w:instrText xml:space="preserve"> NOTEREF _Ref334080771 \h </w:instrText>
      </w:r>
      <w:r w:rsidRPr="00A04969">
        <w:rPr>
          <w:sz w:val="20"/>
          <w:szCs w:val="20"/>
        </w:rPr>
      </w:r>
      <w:r w:rsidRPr="00A04969">
        <w:rPr>
          <w:sz w:val="20"/>
          <w:szCs w:val="20"/>
        </w:rPr>
        <w:fldChar w:fldCharType="separate"/>
      </w:r>
      <w:r>
        <w:rPr>
          <w:sz w:val="20"/>
          <w:szCs w:val="20"/>
        </w:rPr>
        <w:t>26</w:t>
      </w:r>
      <w:r w:rsidRPr="00A04969">
        <w:rPr>
          <w:sz w:val="20"/>
          <w:szCs w:val="20"/>
        </w:rPr>
        <w:fldChar w:fldCharType="end"/>
      </w:r>
      <w:r w:rsidRPr="00A04969">
        <w:rPr>
          <w:sz w:val="20"/>
          <w:szCs w:val="20"/>
        </w:rPr>
        <w:t xml:space="preserve"> at 44.</w:t>
      </w:r>
      <w:r w:rsidRPr="00A04969">
        <w:rPr>
          <w:bCs/>
          <w:sz w:val="20"/>
          <w:szCs w:val="20"/>
        </w:rPr>
        <w:t xml:space="preserve"> </w:t>
      </w:r>
    </w:p>
  </w:footnote>
  <w:footnote w:id="78">
    <w:p w14:paraId="0EE9AA4E" w14:textId="3245546A" w:rsidR="00D43BBB" w:rsidRPr="00A04969" w:rsidRDefault="00D43BBB" w:rsidP="002420B7">
      <w:pPr>
        <w:widowControl w:val="0"/>
        <w:autoSpaceDE w:val="0"/>
        <w:autoSpaceDN w:val="0"/>
        <w:adjustRightInd w:val="0"/>
        <w:rPr>
          <w:sz w:val="20"/>
          <w:szCs w:val="20"/>
        </w:rPr>
      </w:pPr>
      <w:r w:rsidRPr="00A04969">
        <w:rPr>
          <w:rStyle w:val="FootnoteReference"/>
          <w:sz w:val="20"/>
          <w:szCs w:val="20"/>
        </w:rPr>
        <w:footnoteRef/>
      </w:r>
      <w:r w:rsidRPr="00A04969">
        <w:rPr>
          <w:sz w:val="20"/>
          <w:szCs w:val="20"/>
        </w:rPr>
        <w:t xml:space="preserve"> Best Practices in Historic Preservation, </w:t>
      </w:r>
      <w:r w:rsidRPr="00A04969">
        <w:rPr>
          <w:i/>
          <w:sz w:val="20"/>
          <w:szCs w:val="20"/>
        </w:rPr>
        <w:t>supra</w:t>
      </w:r>
      <w:r w:rsidRPr="00A04969">
        <w:rPr>
          <w:sz w:val="20"/>
          <w:szCs w:val="20"/>
        </w:rPr>
        <w:t xml:space="preserve"> n.</w:t>
      </w:r>
      <w:r w:rsidRPr="00A04969">
        <w:rPr>
          <w:sz w:val="20"/>
          <w:szCs w:val="20"/>
        </w:rPr>
        <w:fldChar w:fldCharType="begin"/>
      </w:r>
      <w:r w:rsidRPr="00A04969">
        <w:rPr>
          <w:sz w:val="20"/>
          <w:szCs w:val="20"/>
        </w:rPr>
        <w:instrText xml:space="preserve"> NOTEREF _Ref334082751 \h </w:instrText>
      </w:r>
      <w:r w:rsidRPr="00A04969">
        <w:rPr>
          <w:sz w:val="20"/>
          <w:szCs w:val="20"/>
        </w:rPr>
      </w:r>
      <w:r w:rsidRPr="00A04969">
        <w:rPr>
          <w:sz w:val="20"/>
          <w:szCs w:val="20"/>
        </w:rPr>
        <w:fldChar w:fldCharType="separate"/>
      </w:r>
      <w:proofErr w:type="gramStart"/>
      <w:r>
        <w:rPr>
          <w:sz w:val="20"/>
          <w:szCs w:val="20"/>
        </w:rPr>
        <w:t>65</w:t>
      </w:r>
      <w:r w:rsidRPr="00A04969">
        <w:rPr>
          <w:sz w:val="20"/>
          <w:szCs w:val="20"/>
        </w:rPr>
        <w:fldChar w:fldCharType="end"/>
      </w:r>
      <w:r w:rsidRPr="00A04969">
        <w:rPr>
          <w:sz w:val="20"/>
          <w:szCs w:val="20"/>
        </w:rPr>
        <w:t xml:space="preserve"> at 22.</w:t>
      </w:r>
      <w:proofErr w:type="gramEnd"/>
    </w:p>
  </w:footnote>
  <w:footnote w:id="79">
    <w:p w14:paraId="7C3C39C4" w14:textId="16406EF2"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Arctic Council Sustainable Development Working Group, Recommendations for the Integration of Traditional and Local Knowledge into the Work of the Arctic Council (2015) [hereinafter SDWG IK]; </w:t>
      </w:r>
      <w:r w:rsidRPr="00A04969">
        <w:rPr>
          <w:rFonts w:ascii="Times New Roman" w:eastAsia="Times New Roman" w:hAnsi="Times New Roman" w:cs="Times New Roman"/>
          <w:color w:val="000000"/>
          <w:sz w:val="20"/>
          <w:szCs w:val="20"/>
        </w:rPr>
        <w:t xml:space="preserve">SDWG Mining Guide, </w:t>
      </w:r>
      <w:r w:rsidRPr="00A04969">
        <w:rPr>
          <w:rFonts w:ascii="Times New Roman" w:eastAsia="Times New Roman" w:hAnsi="Times New Roman" w:cs="Times New Roman"/>
          <w:i/>
          <w:color w:val="000000"/>
          <w:sz w:val="20"/>
          <w:szCs w:val="20"/>
        </w:rPr>
        <w:t>supra</w:t>
      </w:r>
      <w:r w:rsidRPr="00A04969">
        <w:rPr>
          <w:rFonts w:ascii="Times New Roman" w:eastAsia="Times New Roman" w:hAnsi="Times New Roman" w:cs="Times New Roman"/>
          <w:color w:val="000000"/>
          <w:sz w:val="20"/>
          <w:szCs w:val="20"/>
        </w:rPr>
        <w:t xml:space="preserve"> n. </w:t>
      </w:r>
      <w:r w:rsidRPr="00A04969">
        <w:rPr>
          <w:rFonts w:ascii="Times New Roman" w:eastAsia="Times New Roman" w:hAnsi="Times New Roman" w:cs="Times New Roman"/>
          <w:color w:val="000000"/>
          <w:sz w:val="20"/>
          <w:szCs w:val="20"/>
        </w:rPr>
        <w:fldChar w:fldCharType="begin"/>
      </w:r>
      <w:r w:rsidRPr="00A04969">
        <w:rPr>
          <w:rFonts w:ascii="Times New Roman" w:eastAsia="Times New Roman" w:hAnsi="Times New Roman" w:cs="Times New Roman"/>
          <w:color w:val="000000"/>
          <w:sz w:val="20"/>
          <w:szCs w:val="20"/>
        </w:rPr>
        <w:instrText xml:space="preserve"> NOTEREF _Ref334082904 \h </w:instrText>
      </w:r>
      <w:r w:rsidRPr="00A04969">
        <w:rPr>
          <w:rFonts w:ascii="Times New Roman" w:eastAsia="Times New Roman" w:hAnsi="Times New Roman" w:cs="Times New Roman"/>
          <w:color w:val="000000"/>
          <w:sz w:val="20"/>
          <w:szCs w:val="20"/>
        </w:rPr>
      </w:r>
      <w:r w:rsidRPr="00A04969">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color w:val="000000"/>
          <w:sz w:val="20"/>
          <w:szCs w:val="20"/>
        </w:rPr>
        <w:t>38</w:t>
      </w:r>
      <w:r w:rsidRPr="00A04969">
        <w:rPr>
          <w:rFonts w:ascii="Times New Roman" w:eastAsia="Times New Roman" w:hAnsi="Times New Roman" w:cs="Times New Roman"/>
          <w:color w:val="000000"/>
          <w:sz w:val="20"/>
          <w:szCs w:val="20"/>
        </w:rPr>
        <w:fldChar w:fldCharType="end"/>
      </w:r>
      <w:r w:rsidRPr="00A04969">
        <w:rPr>
          <w:rFonts w:ascii="Times New Roman" w:eastAsia="Times New Roman" w:hAnsi="Times New Roman" w:cs="Times New Roman"/>
          <w:color w:val="000000"/>
          <w:sz w:val="20"/>
          <w:szCs w:val="20"/>
        </w:rPr>
        <w:t xml:space="preserve">; </w:t>
      </w:r>
      <w:r w:rsidRPr="00A04969">
        <w:rPr>
          <w:rFonts w:ascii="Times New Roman" w:hAnsi="Times New Roman" w:cs="Times New Roman"/>
          <w:sz w:val="20"/>
          <w:szCs w:val="20"/>
          <w:lang w:val="en-CA"/>
        </w:rPr>
        <w:t xml:space="preserve">Arctic </w:t>
      </w:r>
      <w:r w:rsidRPr="00A04969">
        <w:rPr>
          <w:rFonts w:ascii="Times New Roman" w:hAnsi="Times New Roman" w:cs="Times New Roman"/>
          <w:color w:val="000000" w:themeColor="text1"/>
          <w:sz w:val="20"/>
          <w:szCs w:val="20"/>
          <w:lang w:val="en-CA"/>
        </w:rPr>
        <w:t>Council</w:t>
      </w:r>
      <w:r w:rsidRPr="00A04969">
        <w:rPr>
          <w:rFonts w:ascii="Times New Roman" w:hAnsi="Times New Roman" w:cs="Times New Roman"/>
          <w:b/>
          <w:color w:val="000000" w:themeColor="text1"/>
          <w:sz w:val="20"/>
          <w:szCs w:val="20"/>
          <w:lang w:val="en-CA"/>
        </w:rPr>
        <w:t xml:space="preserve"> </w:t>
      </w:r>
      <w:r w:rsidRPr="00A04969">
        <w:rPr>
          <w:rStyle w:val="Strong"/>
          <w:rFonts w:ascii="Times New Roman" w:eastAsia="Times New Roman" w:hAnsi="Times New Roman" w:cs="Times New Roman"/>
          <w:b w:val="0"/>
          <w:color w:val="000000" w:themeColor="text1"/>
          <w:sz w:val="20"/>
          <w:szCs w:val="20"/>
          <w:shd w:val="clear" w:color="auto" w:fill="FFFFFF"/>
        </w:rPr>
        <w:t xml:space="preserve">Arctic Monitoring and Assessment </w:t>
      </w:r>
      <w:proofErr w:type="spellStart"/>
      <w:r w:rsidRPr="00A04969">
        <w:rPr>
          <w:rStyle w:val="Strong"/>
          <w:rFonts w:ascii="Times New Roman" w:eastAsia="Times New Roman" w:hAnsi="Times New Roman" w:cs="Times New Roman"/>
          <w:b w:val="0"/>
          <w:color w:val="000000" w:themeColor="text1"/>
          <w:sz w:val="20"/>
          <w:szCs w:val="20"/>
          <w:shd w:val="clear" w:color="auto" w:fill="FFFFFF"/>
        </w:rPr>
        <w:t>Programme</w:t>
      </w:r>
      <w:proofErr w:type="spellEnd"/>
      <w:r w:rsidRPr="00A04969">
        <w:rPr>
          <w:rStyle w:val="Strong"/>
          <w:rFonts w:ascii="Times New Roman" w:eastAsia="Times New Roman" w:hAnsi="Times New Roman" w:cs="Times New Roman"/>
          <w:b w:val="0"/>
          <w:color w:val="000000" w:themeColor="text1"/>
          <w:sz w:val="20"/>
          <w:szCs w:val="20"/>
          <w:shd w:val="clear" w:color="auto" w:fill="FFFFFF"/>
        </w:rPr>
        <w:t>,</w:t>
      </w:r>
      <w:r w:rsidRPr="00A04969">
        <w:rPr>
          <w:rFonts w:ascii="Times New Roman" w:hAnsi="Times New Roman" w:cs="Times New Roman"/>
          <w:sz w:val="20"/>
          <w:szCs w:val="20"/>
        </w:rPr>
        <w:t xml:space="preserve"> Arctic Oil and Gas at vi (2007) [hereinafter AMAP Oil and Gas]; Arctic Council Protection of the Arctic Marine Environment Working Group, Arctic Offshore Oil and Gas Guidelines at 19 (2009) [hereinafter PAME Offshore Oil and Gas].</w:t>
      </w:r>
    </w:p>
  </w:footnote>
  <w:footnote w:id="80">
    <w:p w14:paraId="38D2134E" w14:textId="05204387"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r w:rsidRPr="00A04969">
        <w:rPr>
          <w:rFonts w:ascii="Times New Roman" w:hAnsi="Times New Roman" w:cs="Times New Roman"/>
          <w:i/>
          <w:sz w:val="20"/>
          <w:szCs w:val="20"/>
        </w:rPr>
        <w:t>See, e.g.,</w:t>
      </w:r>
      <w:r w:rsidRPr="00A04969">
        <w:rPr>
          <w:rFonts w:ascii="Times New Roman" w:hAnsi="Times New Roman" w:cs="Times New Roman"/>
          <w:sz w:val="20"/>
          <w:szCs w:val="20"/>
        </w:rPr>
        <w:t xml:space="preserve"> AMAP Meeting Report 2013:2, Agenda item 4.1.</w:t>
      </w:r>
    </w:p>
  </w:footnote>
  <w:footnote w:id="81">
    <w:p w14:paraId="29127CB0" w14:textId="53D74D9F" w:rsidR="00D43BBB" w:rsidRPr="00A04969" w:rsidRDefault="00D43BBB" w:rsidP="002420B7">
      <w:pPr>
        <w:shd w:val="clear" w:color="auto" w:fill="FFFFFF"/>
        <w:rPr>
          <w:rFonts w:eastAsia="Times New Roman"/>
          <w:sz w:val="20"/>
          <w:szCs w:val="20"/>
        </w:rPr>
      </w:pPr>
      <w:r w:rsidRPr="00A04969">
        <w:rPr>
          <w:rStyle w:val="FootnoteReference"/>
          <w:sz w:val="20"/>
          <w:szCs w:val="20"/>
        </w:rPr>
        <w:footnoteRef/>
      </w:r>
      <w:r w:rsidRPr="00A04969">
        <w:rPr>
          <w:sz w:val="20"/>
          <w:szCs w:val="20"/>
        </w:rPr>
        <w:t xml:space="preserve"> See, e.g., </w:t>
      </w:r>
      <w:proofErr w:type="gramStart"/>
      <w:r w:rsidRPr="00A04969">
        <w:rPr>
          <w:rFonts w:eastAsia="Times New Roman"/>
          <w:sz w:val="20"/>
          <w:szCs w:val="20"/>
        </w:rPr>
        <w:t>Creating</w:t>
      </w:r>
      <w:proofErr w:type="gramEnd"/>
      <w:r w:rsidRPr="00A04969">
        <w:rPr>
          <w:rFonts w:eastAsia="Times New Roman"/>
          <w:sz w:val="20"/>
          <w:szCs w:val="20"/>
        </w:rPr>
        <w:t xml:space="preserve"> a Roadmap Forward: the Arctic Marine Shipping Assessment. Workshop Report </w:t>
      </w:r>
      <w:proofErr w:type="gramStart"/>
      <w:r w:rsidRPr="00A04969">
        <w:rPr>
          <w:rFonts w:eastAsia="Times New Roman"/>
          <w:sz w:val="20"/>
          <w:szCs w:val="20"/>
        </w:rPr>
        <w:t>For</w:t>
      </w:r>
      <w:proofErr w:type="gramEnd"/>
      <w:r w:rsidRPr="00A04969">
        <w:rPr>
          <w:rFonts w:eastAsia="Times New Roman"/>
          <w:sz w:val="20"/>
          <w:szCs w:val="20"/>
        </w:rPr>
        <w:t xml:space="preserve"> October 22-24, 2009, University of Alaska Fairbanks and the University of the Arctic Institute for Applied Circumpolar Policy at 9 (Brigham, L. and M. </w:t>
      </w:r>
      <w:proofErr w:type="spellStart"/>
      <w:r w:rsidRPr="00A04969">
        <w:rPr>
          <w:rFonts w:eastAsia="Times New Roman"/>
          <w:sz w:val="20"/>
          <w:szCs w:val="20"/>
        </w:rPr>
        <w:t>Sfraga</w:t>
      </w:r>
      <w:proofErr w:type="spellEnd"/>
      <w:r w:rsidRPr="00A04969">
        <w:rPr>
          <w:rFonts w:eastAsia="Times New Roman"/>
          <w:sz w:val="20"/>
          <w:szCs w:val="20"/>
        </w:rPr>
        <w:t xml:space="preserve"> Eds., 2010) [hereinafter AMSA Roadmap Workshop Report].</w:t>
      </w:r>
    </w:p>
  </w:footnote>
  <w:footnote w:id="82">
    <w:p w14:paraId="75833F16" w14:textId="5C11C1E3" w:rsidR="00D43BBB" w:rsidRPr="00A04969" w:rsidRDefault="00D43BBB" w:rsidP="002420B7">
      <w:pPr>
        <w:widowControl w:val="0"/>
        <w:autoSpaceDE w:val="0"/>
        <w:autoSpaceDN w:val="0"/>
        <w:adjustRightInd w:val="0"/>
        <w:rPr>
          <w:sz w:val="20"/>
          <w:szCs w:val="20"/>
        </w:rPr>
      </w:pPr>
      <w:r w:rsidRPr="00A04969">
        <w:rPr>
          <w:rStyle w:val="FootnoteReference"/>
          <w:sz w:val="20"/>
          <w:szCs w:val="20"/>
        </w:rPr>
        <w:footnoteRef/>
      </w:r>
      <w:r w:rsidRPr="00A04969">
        <w:rPr>
          <w:sz w:val="20"/>
          <w:szCs w:val="20"/>
        </w:rPr>
        <w:t xml:space="preserve"> </w:t>
      </w:r>
      <w:proofErr w:type="gramStart"/>
      <w:r w:rsidRPr="00A04969">
        <w:rPr>
          <w:sz w:val="20"/>
          <w:szCs w:val="20"/>
        </w:rPr>
        <w:t xml:space="preserve">ASI 2010, </w:t>
      </w:r>
      <w:r w:rsidRPr="00A04969">
        <w:rPr>
          <w:i/>
          <w:sz w:val="20"/>
          <w:szCs w:val="20"/>
        </w:rPr>
        <w:t>supra</w:t>
      </w:r>
      <w:r w:rsidRPr="00A04969">
        <w:rPr>
          <w:sz w:val="20"/>
          <w:szCs w:val="20"/>
        </w:rPr>
        <w:t xml:space="preserve"> n. </w:t>
      </w:r>
      <w:r w:rsidRPr="00A04969">
        <w:rPr>
          <w:sz w:val="20"/>
          <w:szCs w:val="20"/>
        </w:rPr>
        <w:fldChar w:fldCharType="begin"/>
      </w:r>
      <w:r w:rsidRPr="00A04969">
        <w:rPr>
          <w:sz w:val="20"/>
          <w:szCs w:val="20"/>
        </w:rPr>
        <w:instrText xml:space="preserve"> NOTEREF _Ref334000217 \h </w:instrText>
      </w:r>
      <w:r w:rsidRPr="00A04969">
        <w:rPr>
          <w:sz w:val="20"/>
          <w:szCs w:val="20"/>
        </w:rPr>
      </w:r>
      <w:r w:rsidRPr="00A04969">
        <w:rPr>
          <w:sz w:val="20"/>
          <w:szCs w:val="20"/>
        </w:rPr>
        <w:fldChar w:fldCharType="separate"/>
      </w:r>
      <w:r>
        <w:rPr>
          <w:sz w:val="20"/>
          <w:szCs w:val="20"/>
        </w:rPr>
        <w:t>12</w:t>
      </w:r>
      <w:r w:rsidRPr="00A04969">
        <w:rPr>
          <w:sz w:val="20"/>
          <w:szCs w:val="20"/>
        </w:rPr>
        <w:fldChar w:fldCharType="end"/>
      </w:r>
      <w:r w:rsidRPr="00A04969">
        <w:rPr>
          <w:sz w:val="20"/>
          <w:szCs w:val="20"/>
        </w:rPr>
        <w:t xml:space="preserve"> at 12.</w:t>
      </w:r>
      <w:proofErr w:type="gramEnd"/>
    </w:p>
  </w:footnote>
  <w:footnote w:id="83">
    <w:p w14:paraId="44F200D8" w14:textId="13B63088" w:rsidR="00D43BBB" w:rsidRPr="00A04969" w:rsidRDefault="00D43BBB" w:rsidP="00FC0E1D">
      <w:pPr>
        <w:widowControl w:val="0"/>
        <w:autoSpaceDE w:val="0"/>
        <w:autoSpaceDN w:val="0"/>
        <w:adjustRightInd w:val="0"/>
        <w:rPr>
          <w:sz w:val="20"/>
          <w:szCs w:val="20"/>
          <w:lang w:val="en-US"/>
        </w:rPr>
      </w:pPr>
      <w:r w:rsidRPr="00A04969">
        <w:rPr>
          <w:rStyle w:val="FootnoteReference"/>
          <w:sz w:val="20"/>
          <w:szCs w:val="20"/>
        </w:rPr>
        <w:footnoteRef/>
      </w:r>
      <w:r w:rsidRPr="00A04969">
        <w:rPr>
          <w:sz w:val="20"/>
          <w:szCs w:val="20"/>
        </w:rPr>
        <w:t xml:space="preserve"> </w:t>
      </w:r>
      <w:proofErr w:type="gramStart"/>
      <w:r w:rsidRPr="00A04969">
        <w:rPr>
          <w:sz w:val="20"/>
          <w:szCs w:val="20"/>
          <w:lang w:val="en-US"/>
        </w:rPr>
        <w:t>Social and Economic Considerations for AMSA (Integrated Environments, 2008).</w:t>
      </w:r>
      <w:proofErr w:type="gramEnd"/>
    </w:p>
  </w:footnote>
  <w:footnote w:id="84">
    <w:p w14:paraId="1C3C3763" w14:textId="77777777" w:rsidR="00D43BBB" w:rsidRPr="00A04969" w:rsidRDefault="00D43BBB" w:rsidP="00FE3776">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proofErr w:type="gramStart"/>
      <w:r w:rsidRPr="00A04969">
        <w:rPr>
          <w:rFonts w:ascii="Times New Roman" w:hAnsi="Times New Roman" w:cs="Times New Roman"/>
          <w:sz w:val="20"/>
          <w:szCs w:val="20"/>
        </w:rPr>
        <w:t xml:space="preserve">SDWG IK, supra n. </w:t>
      </w:r>
      <w:r w:rsidRPr="00A04969">
        <w:rPr>
          <w:rFonts w:ascii="Times New Roman" w:hAnsi="Times New Roman" w:cs="Times New Roman"/>
          <w:sz w:val="20"/>
          <w:szCs w:val="20"/>
        </w:rPr>
        <w:fldChar w:fldCharType="begin"/>
      </w:r>
      <w:r w:rsidRPr="00A04969">
        <w:rPr>
          <w:rFonts w:ascii="Times New Roman" w:hAnsi="Times New Roman" w:cs="Times New Roman"/>
          <w:sz w:val="20"/>
          <w:szCs w:val="20"/>
        </w:rPr>
        <w:instrText xml:space="preserve"> NOTEREF _Ref333994849 \h </w:instrText>
      </w:r>
      <w:r w:rsidRPr="00A04969">
        <w:rPr>
          <w:rFonts w:ascii="Times New Roman" w:hAnsi="Times New Roman" w:cs="Times New Roman"/>
          <w:sz w:val="20"/>
          <w:szCs w:val="20"/>
        </w:rPr>
      </w:r>
      <w:r w:rsidRPr="00A04969">
        <w:rPr>
          <w:rFonts w:ascii="Times New Roman" w:hAnsi="Times New Roman" w:cs="Times New Roman"/>
          <w:sz w:val="20"/>
          <w:szCs w:val="20"/>
        </w:rPr>
        <w:fldChar w:fldCharType="separate"/>
      </w:r>
      <w:r>
        <w:rPr>
          <w:rFonts w:ascii="Times New Roman" w:hAnsi="Times New Roman" w:cs="Times New Roman"/>
          <w:sz w:val="20"/>
          <w:szCs w:val="20"/>
        </w:rPr>
        <w:t>78</w:t>
      </w:r>
      <w:r w:rsidRPr="00A04969">
        <w:rPr>
          <w:rFonts w:ascii="Times New Roman" w:hAnsi="Times New Roman" w:cs="Times New Roman"/>
          <w:sz w:val="20"/>
          <w:szCs w:val="20"/>
        </w:rPr>
        <w:fldChar w:fldCharType="end"/>
      </w:r>
      <w:r w:rsidRPr="00A04969">
        <w:rPr>
          <w:rFonts w:ascii="Times New Roman" w:hAnsi="Times New Roman" w:cs="Times New Roman"/>
          <w:sz w:val="20"/>
          <w:szCs w:val="20"/>
        </w:rPr>
        <w:t>.</w:t>
      </w:r>
      <w:proofErr w:type="gramEnd"/>
    </w:p>
  </w:footnote>
  <w:footnote w:id="85">
    <w:p w14:paraId="5029FE30" w14:textId="77777777" w:rsidR="00D43BBB" w:rsidRPr="00A04969" w:rsidRDefault="00D43BBB" w:rsidP="00A23D3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proofErr w:type="spellStart"/>
      <w:proofErr w:type="gramStart"/>
      <w:r w:rsidRPr="00A04969">
        <w:rPr>
          <w:rFonts w:ascii="Times New Roman" w:hAnsi="Times New Roman" w:cs="Times New Roman"/>
          <w:sz w:val="20"/>
          <w:szCs w:val="20"/>
        </w:rPr>
        <w:t>Ginoogaming</w:t>
      </w:r>
      <w:proofErr w:type="spellEnd"/>
      <w:r w:rsidRPr="00A04969">
        <w:rPr>
          <w:rFonts w:ascii="Times New Roman" w:hAnsi="Times New Roman" w:cs="Times New Roman"/>
          <w:sz w:val="20"/>
          <w:szCs w:val="20"/>
        </w:rPr>
        <w:t xml:space="preserve"> Consultation Protocol, </w:t>
      </w:r>
      <w:r w:rsidRPr="00A04969">
        <w:rPr>
          <w:rFonts w:ascii="Times New Roman" w:hAnsi="Times New Roman" w:cs="Times New Roman"/>
          <w:i/>
          <w:sz w:val="20"/>
          <w:szCs w:val="20"/>
        </w:rPr>
        <w:t xml:space="preserve">supra </w:t>
      </w:r>
      <w:r w:rsidRPr="00A04969">
        <w:rPr>
          <w:rFonts w:ascii="Times New Roman" w:hAnsi="Times New Roman" w:cs="Times New Roman"/>
          <w:sz w:val="20"/>
          <w:szCs w:val="20"/>
        </w:rPr>
        <w:t xml:space="preserve">n. </w:t>
      </w:r>
      <w:r w:rsidRPr="00A04969">
        <w:rPr>
          <w:rFonts w:ascii="Times New Roman" w:hAnsi="Times New Roman" w:cs="Times New Roman"/>
          <w:sz w:val="20"/>
          <w:szCs w:val="20"/>
        </w:rPr>
        <w:fldChar w:fldCharType="begin"/>
      </w:r>
      <w:r w:rsidRPr="00A04969">
        <w:rPr>
          <w:rFonts w:ascii="Times New Roman" w:hAnsi="Times New Roman" w:cs="Times New Roman"/>
          <w:sz w:val="20"/>
          <w:szCs w:val="20"/>
        </w:rPr>
        <w:instrText xml:space="preserve"> NOTEREF _Ref333999948 \h </w:instrText>
      </w:r>
      <w:r w:rsidRPr="00A04969">
        <w:rPr>
          <w:rFonts w:ascii="Times New Roman" w:hAnsi="Times New Roman" w:cs="Times New Roman"/>
          <w:sz w:val="20"/>
          <w:szCs w:val="20"/>
        </w:rPr>
      </w:r>
      <w:r w:rsidRPr="00A04969">
        <w:rPr>
          <w:rFonts w:ascii="Times New Roman" w:hAnsi="Times New Roman" w:cs="Times New Roman"/>
          <w:sz w:val="20"/>
          <w:szCs w:val="20"/>
        </w:rPr>
        <w:fldChar w:fldCharType="separate"/>
      </w:r>
      <w:r>
        <w:rPr>
          <w:rFonts w:ascii="Times New Roman" w:hAnsi="Times New Roman" w:cs="Times New Roman"/>
          <w:sz w:val="20"/>
          <w:szCs w:val="20"/>
        </w:rPr>
        <w:t>46</w:t>
      </w:r>
      <w:r w:rsidRPr="00A04969">
        <w:rPr>
          <w:rFonts w:ascii="Times New Roman" w:hAnsi="Times New Roman" w:cs="Times New Roman"/>
          <w:sz w:val="20"/>
          <w:szCs w:val="20"/>
        </w:rPr>
        <w:fldChar w:fldCharType="end"/>
      </w:r>
      <w:r w:rsidRPr="00A04969">
        <w:rPr>
          <w:rFonts w:ascii="Times New Roman" w:hAnsi="Times New Roman" w:cs="Times New Roman"/>
          <w:sz w:val="20"/>
          <w:szCs w:val="20"/>
        </w:rPr>
        <w:t xml:space="preserve"> at 6.</w:t>
      </w:r>
      <w:proofErr w:type="gramEnd"/>
    </w:p>
  </w:footnote>
  <w:footnote w:id="86">
    <w:p w14:paraId="36FC1DA0" w14:textId="4F61896B" w:rsidR="00D43BBB" w:rsidRPr="00A04969" w:rsidRDefault="00D43BBB" w:rsidP="00FC0E1D">
      <w:pPr>
        <w:widowControl w:val="0"/>
        <w:autoSpaceDE w:val="0"/>
        <w:autoSpaceDN w:val="0"/>
        <w:adjustRightInd w:val="0"/>
        <w:rPr>
          <w:sz w:val="20"/>
          <w:szCs w:val="20"/>
          <w:lang w:val="en-US"/>
        </w:rPr>
      </w:pPr>
      <w:r w:rsidRPr="00A04969">
        <w:rPr>
          <w:rStyle w:val="FootnoteReference"/>
          <w:sz w:val="20"/>
          <w:szCs w:val="20"/>
        </w:rPr>
        <w:footnoteRef/>
      </w:r>
      <w:r w:rsidRPr="00A04969">
        <w:rPr>
          <w:sz w:val="20"/>
          <w:szCs w:val="20"/>
        </w:rPr>
        <w:t xml:space="preserve"> </w:t>
      </w:r>
      <w:proofErr w:type="gramStart"/>
      <w:r w:rsidRPr="00A04969">
        <w:rPr>
          <w:rFonts w:eastAsia="Times New Roman"/>
          <w:color w:val="000000"/>
          <w:sz w:val="20"/>
          <w:szCs w:val="20"/>
          <w:lang w:val="en-US"/>
        </w:rPr>
        <w:t xml:space="preserve">IARPC Principles, </w:t>
      </w:r>
      <w:r w:rsidRPr="00A04969">
        <w:rPr>
          <w:rFonts w:eastAsia="Times New Roman"/>
          <w:i/>
          <w:color w:val="000000"/>
          <w:sz w:val="20"/>
          <w:szCs w:val="20"/>
          <w:lang w:val="en-US"/>
        </w:rPr>
        <w:t>supra</w:t>
      </w:r>
      <w:r w:rsidRPr="00A04969">
        <w:rPr>
          <w:rFonts w:eastAsia="Times New Roman"/>
          <w:color w:val="000000"/>
          <w:sz w:val="20"/>
          <w:szCs w:val="20"/>
          <w:lang w:val="en-US"/>
        </w:rPr>
        <w:t xml:space="preserve"> n. </w:t>
      </w:r>
      <w:r w:rsidRPr="00A04969">
        <w:rPr>
          <w:rFonts w:eastAsia="Times New Roman"/>
          <w:color w:val="000000"/>
          <w:sz w:val="20"/>
          <w:szCs w:val="20"/>
          <w:lang w:val="en-US"/>
        </w:rPr>
        <w:fldChar w:fldCharType="begin"/>
      </w:r>
      <w:r w:rsidRPr="00A04969">
        <w:rPr>
          <w:rFonts w:eastAsia="Times New Roman"/>
          <w:color w:val="000000"/>
          <w:sz w:val="20"/>
          <w:szCs w:val="20"/>
          <w:lang w:val="en-US"/>
        </w:rPr>
        <w:instrText xml:space="preserve"> NOTEREF _Ref334083103 \h </w:instrText>
      </w:r>
      <w:r w:rsidRPr="00A04969">
        <w:rPr>
          <w:rFonts w:eastAsia="Times New Roman"/>
          <w:color w:val="000000"/>
          <w:sz w:val="20"/>
          <w:szCs w:val="20"/>
          <w:lang w:val="en-US"/>
        </w:rPr>
      </w:r>
      <w:r w:rsidRPr="00A04969">
        <w:rPr>
          <w:rFonts w:eastAsia="Times New Roman"/>
          <w:color w:val="000000"/>
          <w:sz w:val="20"/>
          <w:szCs w:val="20"/>
          <w:lang w:val="en-US"/>
        </w:rPr>
        <w:fldChar w:fldCharType="separate"/>
      </w:r>
      <w:r>
        <w:rPr>
          <w:rFonts w:eastAsia="Times New Roman"/>
          <w:color w:val="000000"/>
          <w:sz w:val="20"/>
          <w:szCs w:val="20"/>
          <w:lang w:val="en-US"/>
        </w:rPr>
        <w:t>57</w:t>
      </w:r>
      <w:r w:rsidRPr="00A04969">
        <w:rPr>
          <w:rFonts w:eastAsia="Times New Roman"/>
          <w:color w:val="000000"/>
          <w:sz w:val="20"/>
          <w:szCs w:val="20"/>
          <w:lang w:val="en-US"/>
        </w:rPr>
        <w:fldChar w:fldCharType="end"/>
      </w:r>
      <w:r w:rsidRPr="00A04969">
        <w:rPr>
          <w:rFonts w:eastAsia="Times New Roman"/>
          <w:color w:val="000000"/>
          <w:sz w:val="20"/>
          <w:szCs w:val="20"/>
        </w:rPr>
        <w:t xml:space="preserve">; </w:t>
      </w:r>
      <w:r w:rsidRPr="00A04969">
        <w:rPr>
          <w:sz w:val="20"/>
          <w:szCs w:val="20"/>
        </w:rPr>
        <w:t>IFIP Strategies for Support</w:t>
      </w:r>
      <w:r w:rsidRPr="00A04969">
        <w:rPr>
          <w:bCs/>
          <w:sz w:val="20"/>
          <w:szCs w:val="20"/>
          <w:lang w:val="en-US"/>
        </w:rPr>
        <w:t xml:space="preserve">, </w:t>
      </w:r>
      <w:r w:rsidRPr="00A04969">
        <w:rPr>
          <w:bCs/>
          <w:i/>
          <w:sz w:val="20"/>
          <w:szCs w:val="20"/>
          <w:lang w:val="en-US"/>
        </w:rPr>
        <w:t>supra</w:t>
      </w:r>
      <w:r w:rsidRPr="00A04969">
        <w:rPr>
          <w:bCs/>
          <w:sz w:val="20"/>
          <w:szCs w:val="20"/>
          <w:lang w:val="en-US"/>
        </w:rPr>
        <w:t xml:space="preserve"> n. </w:t>
      </w:r>
      <w:r w:rsidRPr="00A04969">
        <w:rPr>
          <w:bCs/>
          <w:sz w:val="20"/>
          <w:szCs w:val="20"/>
          <w:lang w:val="en-US"/>
        </w:rPr>
        <w:fldChar w:fldCharType="begin"/>
      </w:r>
      <w:r w:rsidRPr="00A04969">
        <w:rPr>
          <w:bCs/>
          <w:sz w:val="20"/>
          <w:szCs w:val="20"/>
          <w:lang w:val="en-US"/>
        </w:rPr>
        <w:instrText xml:space="preserve"> NOTEREF _Ref334083206 \h </w:instrText>
      </w:r>
      <w:r w:rsidRPr="00A04969">
        <w:rPr>
          <w:bCs/>
          <w:sz w:val="20"/>
          <w:szCs w:val="20"/>
          <w:lang w:val="en-US"/>
        </w:rPr>
      </w:r>
      <w:r w:rsidRPr="00A04969">
        <w:rPr>
          <w:bCs/>
          <w:sz w:val="20"/>
          <w:szCs w:val="20"/>
          <w:lang w:val="en-US"/>
        </w:rPr>
        <w:fldChar w:fldCharType="separate"/>
      </w:r>
      <w:r>
        <w:rPr>
          <w:bCs/>
          <w:sz w:val="20"/>
          <w:szCs w:val="20"/>
          <w:lang w:val="en-US"/>
        </w:rPr>
        <w:t>55</w:t>
      </w:r>
      <w:r w:rsidRPr="00A04969">
        <w:rPr>
          <w:bCs/>
          <w:sz w:val="20"/>
          <w:szCs w:val="20"/>
          <w:lang w:val="en-US"/>
        </w:rPr>
        <w:fldChar w:fldCharType="end"/>
      </w:r>
      <w:r w:rsidRPr="00A04969">
        <w:rPr>
          <w:bCs/>
          <w:sz w:val="20"/>
          <w:szCs w:val="20"/>
          <w:lang w:val="en-US"/>
        </w:rPr>
        <w:t xml:space="preserve"> at 7; </w:t>
      </w:r>
      <w:r w:rsidRPr="00A04969">
        <w:rPr>
          <w:sz w:val="20"/>
          <w:szCs w:val="20"/>
        </w:rPr>
        <w:t xml:space="preserve">WWF Principles, </w:t>
      </w:r>
      <w:r w:rsidRPr="00A04969">
        <w:rPr>
          <w:i/>
          <w:sz w:val="20"/>
          <w:szCs w:val="20"/>
        </w:rPr>
        <w:t>supra</w:t>
      </w:r>
      <w:r w:rsidRPr="00A04969">
        <w:rPr>
          <w:sz w:val="20"/>
          <w:szCs w:val="20"/>
        </w:rPr>
        <w:t xml:space="preserve"> n. </w:t>
      </w:r>
      <w:r w:rsidRPr="00A04969">
        <w:rPr>
          <w:sz w:val="20"/>
          <w:szCs w:val="20"/>
        </w:rPr>
        <w:fldChar w:fldCharType="begin"/>
      </w:r>
      <w:r w:rsidRPr="00A04969">
        <w:rPr>
          <w:sz w:val="20"/>
          <w:szCs w:val="20"/>
        </w:rPr>
        <w:instrText xml:space="preserve"> NOTEREF _Ref334083266 \h </w:instrText>
      </w:r>
      <w:r w:rsidRPr="00A04969">
        <w:rPr>
          <w:sz w:val="20"/>
          <w:szCs w:val="20"/>
        </w:rPr>
      </w:r>
      <w:r w:rsidRPr="00A04969">
        <w:rPr>
          <w:sz w:val="20"/>
          <w:szCs w:val="20"/>
        </w:rPr>
        <w:fldChar w:fldCharType="separate"/>
      </w:r>
      <w:r>
        <w:rPr>
          <w:sz w:val="20"/>
          <w:szCs w:val="20"/>
        </w:rPr>
        <w:t>58</w:t>
      </w:r>
      <w:r w:rsidRPr="00A04969">
        <w:rPr>
          <w:sz w:val="20"/>
          <w:szCs w:val="20"/>
        </w:rPr>
        <w:fldChar w:fldCharType="end"/>
      </w:r>
      <w:r w:rsidRPr="00A04969">
        <w:rPr>
          <w:sz w:val="20"/>
          <w:szCs w:val="20"/>
        </w:rPr>
        <w:t xml:space="preserve"> at 7.</w:t>
      </w:r>
      <w:proofErr w:type="gramEnd"/>
    </w:p>
  </w:footnote>
  <w:footnote w:id="87">
    <w:p w14:paraId="010963A3" w14:textId="77777777" w:rsidR="00D43BBB" w:rsidRPr="00A04969" w:rsidRDefault="00D43BBB" w:rsidP="002420B7">
      <w:pPr>
        <w:rPr>
          <w:rFonts w:eastAsia="Times New Roman"/>
          <w:color w:val="000000"/>
          <w:sz w:val="20"/>
          <w:szCs w:val="20"/>
          <w:lang w:val="en-US"/>
        </w:rPr>
      </w:pPr>
      <w:r w:rsidRPr="00A04969">
        <w:rPr>
          <w:rStyle w:val="FootnoteReference"/>
          <w:sz w:val="20"/>
          <w:szCs w:val="20"/>
        </w:rPr>
        <w:footnoteRef/>
      </w:r>
      <w:r w:rsidRPr="00A04969">
        <w:rPr>
          <w:sz w:val="20"/>
          <w:szCs w:val="20"/>
        </w:rPr>
        <w:t xml:space="preserve"> </w:t>
      </w:r>
      <w:proofErr w:type="gramStart"/>
      <w:r w:rsidRPr="00A04969">
        <w:rPr>
          <w:sz w:val="20"/>
          <w:szCs w:val="20"/>
        </w:rPr>
        <w:t>R</w:t>
      </w:r>
      <w:proofErr w:type="spellStart"/>
      <w:r w:rsidRPr="00A04969">
        <w:rPr>
          <w:sz w:val="20"/>
          <w:szCs w:val="20"/>
          <w:lang w:val="en-US"/>
        </w:rPr>
        <w:t>aymond-Yakoubian</w:t>
      </w:r>
      <w:proofErr w:type="spellEnd"/>
      <w:r w:rsidRPr="00A04969">
        <w:rPr>
          <w:sz w:val="20"/>
          <w:szCs w:val="20"/>
          <w:lang w:val="en-US"/>
        </w:rPr>
        <w:t>, J.</w:t>
      </w:r>
      <w:r w:rsidRPr="00A04969">
        <w:rPr>
          <w:sz w:val="20"/>
          <w:szCs w:val="20"/>
        </w:rPr>
        <w:t xml:space="preserve"> et al, Indigenous Knowledge and Use of Bering Strait Region Currents at 5 (2014).</w:t>
      </w:r>
      <w:proofErr w:type="gramEnd"/>
    </w:p>
  </w:footnote>
  <w:footnote w:id="88">
    <w:p w14:paraId="5F7544F0" w14:textId="6FC115DA" w:rsidR="00D43BBB" w:rsidRPr="00A04969" w:rsidRDefault="00D43BBB" w:rsidP="002420B7">
      <w:pPr>
        <w:widowControl w:val="0"/>
        <w:autoSpaceDE w:val="0"/>
        <w:autoSpaceDN w:val="0"/>
        <w:adjustRightInd w:val="0"/>
        <w:rPr>
          <w:sz w:val="20"/>
          <w:szCs w:val="20"/>
        </w:rPr>
      </w:pPr>
      <w:r w:rsidRPr="00A04969">
        <w:rPr>
          <w:rStyle w:val="FootnoteReference"/>
          <w:sz w:val="20"/>
          <w:szCs w:val="20"/>
        </w:rPr>
        <w:footnoteRef/>
      </w:r>
      <w:r w:rsidRPr="00A04969">
        <w:rPr>
          <w:sz w:val="20"/>
          <w:szCs w:val="20"/>
        </w:rPr>
        <w:t xml:space="preserve"> Good Practices in Community Engagement and Readiness at 17 (</w:t>
      </w:r>
      <w:r w:rsidRPr="00A04969">
        <w:rPr>
          <w:bCs/>
          <w:color w:val="171352"/>
          <w:sz w:val="20"/>
          <w:szCs w:val="20"/>
        </w:rPr>
        <w:t>Energy and Mines Ministers’ Conference, Aug. 2014)</w:t>
      </w:r>
      <w:r w:rsidRPr="00A04969">
        <w:rPr>
          <w:sz w:val="20"/>
          <w:szCs w:val="20"/>
        </w:rPr>
        <w:t xml:space="preserve">; </w:t>
      </w:r>
      <w:r w:rsidRPr="00A04969">
        <w:rPr>
          <w:iCs/>
          <w:sz w:val="20"/>
          <w:szCs w:val="20"/>
        </w:rPr>
        <w:t>Guiding Principles</w:t>
      </w:r>
      <w:r w:rsidRPr="00A04969">
        <w:rPr>
          <w:sz w:val="20"/>
          <w:szCs w:val="20"/>
        </w:rPr>
        <w:t xml:space="preserve">, </w:t>
      </w:r>
      <w:r w:rsidRPr="00A04969">
        <w:rPr>
          <w:i/>
          <w:sz w:val="20"/>
          <w:szCs w:val="20"/>
        </w:rPr>
        <w:t>supra</w:t>
      </w:r>
      <w:r w:rsidRPr="00A04969">
        <w:rPr>
          <w:sz w:val="20"/>
          <w:szCs w:val="20"/>
        </w:rPr>
        <w:t xml:space="preserve"> n. </w:t>
      </w:r>
      <w:r w:rsidRPr="00A04969">
        <w:rPr>
          <w:sz w:val="20"/>
          <w:szCs w:val="20"/>
        </w:rPr>
        <w:fldChar w:fldCharType="begin"/>
      </w:r>
      <w:r w:rsidRPr="00A04969">
        <w:rPr>
          <w:sz w:val="20"/>
          <w:szCs w:val="20"/>
        </w:rPr>
        <w:instrText xml:space="preserve"> NOTEREF _Ref333307740 \h </w:instrText>
      </w:r>
      <w:r w:rsidRPr="00A04969">
        <w:rPr>
          <w:sz w:val="20"/>
          <w:szCs w:val="20"/>
        </w:rPr>
      </w:r>
      <w:r w:rsidRPr="00A04969">
        <w:rPr>
          <w:sz w:val="20"/>
          <w:szCs w:val="20"/>
        </w:rPr>
        <w:fldChar w:fldCharType="separate"/>
      </w:r>
      <w:r>
        <w:rPr>
          <w:sz w:val="20"/>
          <w:szCs w:val="20"/>
        </w:rPr>
        <w:t>11</w:t>
      </w:r>
      <w:r w:rsidRPr="00A04969">
        <w:rPr>
          <w:sz w:val="20"/>
          <w:szCs w:val="20"/>
        </w:rPr>
        <w:fldChar w:fldCharType="end"/>
      </w:r>
      <w:r w:rsidRPr="00A04969">
        <w:rPr>
          <w:sz w:val="20"/>
          <w:szCs w:val="20"/>
        </w:rPr>
        <w:t xml:space="preserve"> ¶ 18.</w:t>
      </w:r>
    </w:p>
  </w:footnote>
  <w:footnote w:id="89">
    <w:p w14:paraId="30E28ADF" w14:textId="333A8C7E" w:rsidR="00D43BBB" w:rsidRPr="00A04969" w:rsidRDefault="00D43BBB" w:rsidP="002420B7">
      <w:pPr>
        <w:widowControl w:val="0"/>
        <w:autoSpaceDE w:val="0"/>
        <w:autoSpaceDN w:val="0"/>
        <w:adjustRightInd w:val="0"/>
        <w:rPr>
          <w:sz w:val="20"/>
          <w:szCs w:val="20"/>
        </w:rPr>
      </w:pPr>
      <w:r w:rsidRPr="00A04969">
        <w:rPr>
          <w:rStyle w:val="FootnoteReference"/>
          <w:sz w:val="20"/>
          <w:szCs w:val="20"/>
        </w:rPr>
        <w:footnoteRef/>
      </w:r>
      <w:r w:rsidRPr="00A04969">
        <w:rPr>
          <w:sz w:val="20"/>
          <w:szCs w:val="20"/>
        </w:rPr>
        <w:t xml:space="preserve"> </w:t>
      </w:r>
      <w:proofErr w:type="spellStart"/>
      <w:proofErr w:type="gramStart"/>
      <w:r w:rsidRPr="00A04969">
        <w:rPr>
          <w:sz w:val="20"/>
          <w:szCs w:val="20"/>
        </w:rPr>
        <w:t>Poelzer</w:t>
      </w:r>
      <w:proofErr w:type="spellEnd"/>
      <w:r w:rsidRPr="00A04969">
        <w:rPr>
          <w:sz w:val="20"/>
          <w:szCs w:val="20"/>
        </w:rPr>
        <w:t xml:space="preserve"> 2015, </w:t>
      </w:r>
      <w:r w:rsidRPr="00A04969">
        <w:rPr>
          <w:i/>
          <w:sz w:val="20"/>
          <w:szCs w:val="20"/>
        </w:rPr>
        <w:t>supra</w:t>
      </w:r>
      <w:r w:rsidRPr="00A04969">
        <w:rPr>
          <w:sz w:val="20"/>
          <w:szCs w:val="20"/>
        </w:rPr>
        <w:t xml:space="preserve"> n. </w:t>
      </w:r>
      <w:r w:rsidRPr="00A04969">
        <w:rPr>
          <w:sz w:val="20"/>
          <w:szCs w:val="20"/>
        </w:rPr>
        <w:fldChar w:fldCharType="begin"/>
      </w:r>
      <w:r w:rsidRPr="00A04969">
        <w:rPr>
          <w:sz w:val="20"/>
          <w:szCs w:val="20"/>
        </w:rPr>
        <w:instrText xml:space="preserve"> NOTEREF _Ref334083020 \h </w:instrText>
      </w:r>
      <w:r w:rsidRPr="00A04969">
        <w:rPr>
          <w:sz w:val="20"/>
          <w:szCs w:val="20"/>
        </w:rPr>
      </w:r>
      <w:r w:rsidRPr="00A04969">
        <w:rPr>
          <w:sz w:val="20"/>
          <w:szCs w:val="20"/>
        </w:rPr>
        <w:fldChar w:fldCharType="separate"/>
      </w:r>
      <w:r>
        <w:rPr>
          <w:sz w:val="20"/>
          <w:szCs w:val="20"/>
        </w:rPr>
        <w:t>44</w:t>
      </w:r>
      <w:r w:rsidRPr="00A04969">
        <w:rPr>
          <w:sz w:val="20"/>
          <w:szCs w:val="20"/>
        </w:rPr>
        <w:fldChar w:fldCharType="end"/>
      </w:r>
      <w:r w:rsidRPr="00A04969">
        <w:rPr>
          <w:sz w:val="20"/>
          <w:szCs w:val="20"/>
        </w:rPr>
        <w:t xml:space="preserve"> at 47.</w:t>
      </w:r>
      <w:proofErr w:type="gramEnd"/>
    </w:p>
  </w:footnote>
  <w:footnote w:id="90">
    <w:p w14:paraId="5D9EC072" w14:textId="4249C922"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proofErr w:type="gramStart"/>
      <w:r w:rsidRPr="00A04969">
        <w:rPr>
          <w:rFonts w:ascii="Times New Roman" w:eastAsia="Times New Roman" w:hAnsi="Times New Roman" w:cs="Times New Roman"/>
          <w:color w:val="000000"/>
          <w:sz w:val="20"/>
          <w:szCs w:val="20"/>
        </w:rPr>
        <w:t xml:space="preserve">SDWG Mining Guide, </w:t>
      </w:r>
      <w:r w:rsidRPr="00A04969">
        <w:rPr>
          <w:rFonts w:ascii="Times New Roman" w:eastAsia="Times New Roman" w:hAnsi="Times New Roman" w:cs="Times New Roman"/>
          <w:i/>
          <w:color w:val="000000"/>
          <w:sz w:val="20"/>
          <w:szCs w:val="20"/>
        </w:rPr>
        <w:t>supra</w:t>
      </w:r>
      <w:r w:rsidRPr="00A04969">
        <w:rPr>
          <w:rFonts w:ascii="Times New Roman" w:eastAsia="Times New Roman" w:hAnsi="Times New Roman" w:cs="Times New Roman"/>
          <w:color w:val="000000"/>
          <w:sz w:val="20"/>
          <w:szCs w:val="20"/>
        </w:rPr>
        <w:t xml:space="preserve"> n. </w:t>
      </w:r>
      <w:r w:rsidRPr="00A04969">
        <w:rPr>
          <w:rFonts w:ascii="Times New Roman" w:eastAsia="Times New Roman" w:hAnsi="Times New Roman" w:cs="Times New Roman"/>
          <w:color w:val="000000"/>
          <w:sz w:val="20"/>
          <w:szCs w:val="20"/>
        </w:rPr>
        <w:fldChar w:fldCharType="begin"/>
      </w:r>
      <w:r w:rsidRPr="00A04969">
        <w:rPr>
          <w:rFonts w:ascii="Times New Roman" w:eastAsia="Times New Roman" w:hAnsi="Times New Roman" w:cs="Times New Roman"/>
          <w:color w:val="000000"/>
          <w:sz w:val="20"/>
          <w:szCs w:val="20"/>
        </w:rPr>
        <w:instrText xml:space="preserve"> NOTEREF _Ref334082904 \h </w:instrText>
      </w:r>
      <w:r w:rsidRPr="00A04969">
        <w:rPr>
          <w:rFonts w:ascii="Times New Roman" w:eastAsia="Times New Roman" w:hAnsi="Times New Roman" w:cs="Times New Roman"/>
          <w:color w:val="000000"/>
          <w:sz w:val="20"/>
          <w:szCs w:val="20"/>
        </w:rPr>
      </w:r>
      <w:r w:rsidRPr="00A04969">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color w:val="000000"/>
          <w:sz w:val="20"/>
          <w:szCs w:val="20"/>
        </w:rPr>
        <w:t>38</w:t>
      </w:r>
      <w:r w:rsidRPr="00A04969">
        <w:rPr>
          <w:rFonts w:ascii="Times New Roman" w:eastAsia="Times New Roman" w:hAnsi="Times New Roman" w:cs="Times New Roman"/>
          <w:color w:val="000000"/>
          <w:sz w:val="20"/>
          <w:szCs w:val="20"/>
        </w:rPr>
        <w:fldChar w:fldCharType="end"/>
      </w:r>
      <w:r w:rsidRPr="00A04969">
        <w:rPr>
          <w:rFonts w:ascii="Times New Roman" w:eastAsia="Times New Roman" w:hAnsi="Times New Roman" w:cs="Times New Roman"/>
          <w:color w:val="000000"/>
          <w:sz w:val="20"/>
          <w:szCs w:val="20"/>
        </w:rPr>
        <w:t>.</w:t>
      </w:r>
      <w:proofErr w:type="gramEnd"/>
    </w:p>
  </w:footnote>
  <w:footnote w:id="91">
    <w:p w14:paraId="2358BF60" w14:textId="77777777" w:rsidR="00D43BBB" w:rsidRPr="00A04969" w:rsidRDefault="00D43BBB" w:rsidP="002420B7">
      <w:pPr>
        <w:widowControl w:val="0"/>
        <w:autoSpaceDE w:val="0"/>
        <w:autoSpaceDN w:val="0"/>
        <w:adjustRightInd w:val="0"/>
        <w:rPr>
          <w:sz w:val="20"/>
          <w:szCs w:val="20"/>
        </w:rPr>
      </w:pPr>
      <w:r w:rsidRPr="00A04969">
        <w:rPr>
          <w:rStyle w:val="FootnoteReference"/>
          <w:sz w:val="20"/>
          <w:szCs w:val="20"/>
        </w:rPr>
        <w:footnoteRef/>
      </w:r>
      <w:r w:rsidRPr="00A04969">
        <w:rPr>
          <w:sz w:val="20"/>
          <w:szCs w:val="20"/>
        </w:rPr>
        <w:t xml:space="preserve"> </w:t>
      </w:r>
      <w:proofErr w:type="gramStart"/>
      <w:r w:rsidRPr="00A04969">
        <w:rPr>
          <w:sz w:val="20"/>
          <w:szCs w:val="20"/>
        </w:rPr>
        <w:t>Canadian Council of Ministers of the Environment, Regional Strategic Environmental Assessment in Canada, Principles and Guidance at 6 (2009).</w:t>
      </w:r>
      <w:proofErr w:type="gramEnd"/>
    </w:p>
  </w:footnote>
  <w:footnote w:id="92">
    <w:p w14:paraId="0D369778" w14:textId="08C6A497"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proofErr w:type="gramStart"/>
      <w:r w:rsidRPr="00A04969">
        <w:rPr>
          <w:rFonts w:ascii="Times New Roman" w:hAnsi="Times New Roman" w:cs="Times New Roman"/>
          <w:sz w:val="20"/>
          <w:szCs w:val="20"/>
        </w:rPr>
        <w:t xml:space="preserve">PAME Offshore Oil and Gas, supra n. </w:t>
      </w:r>
      <w:r w:rsidRPr="00A04969">
        <w:rPr>
          <w:rFonts w:ascii="Times New Roman" w:hAnsi="Times New Roman" w:cs="Times New Roman"/>
          <w:sz w:val="20"/>
          <w:szCs w:val="20"/>
        </w:rPr>
        <w:fldChar w:fldCharType="begin"/>
      </w:r>
      <w:r w:rsidRPr="00A04969">
        <w:rPr>
          <w:rFonts w:ascii="Times New Roman" w:hAnsi="Times New Roman" w:cs="Times New Roman"/>
          <w:sz w:val="20"/>
          <w:szCs w:val="20"/>
        </w:rPr>
        <w:instrText xml:space="preserve"> NOTEREF _Ref333994849 \h </w:instrText>
      </w:r>
      <w:r w:rsidRPr="00A04969">
        <w:rPr>
          <w:rFonts w:ascii="Times New Roman" w:hAnsi="Times New Roman" w:cs="Times New Roman"/>
          <w:sz w:val="20"/>
          <w:szCs w:val="20"/>
        </w:rPr>
      </w:r>
      <w:r w:rsidRPr="00A04969">
        <w:rPr>
          <w:rFonts w:ascii="Times New Roman" w:hAnsi="Times New Roman" w:cs="Times New Roman"/>
          <w:sz w:val="20"/>
          <w:szCs w:val="20"/>
        </w:rPr>
        <w:fldChar w:fldCharType="separate"/>
      </w:r>
      <w:r>
        <w:rPr>
          <w:rFonts w:ascii="Times New Roman" w:hAnsi="Times New Roman" w:cs="Times New Roman"/>
          <w:sz w:val="20"/>
          <w:szCs w:val="20"/>
        </w:rPr>
        <w:t>78</w:t>
      </w:r>
      <w:r w:rsidRPr="00A04969">
        <w:rPr>
          <w:rFonts w:ascii="Times New Roman" w:hAnsi="Times New Roman" w:cs="Times New Roman"/>
          <w:sz w:val="20"/>
          <w:szCs w:val="20"/>
        </w:rPr>
        <w:fldChar w:fldCharType="end"/>
      </w:r>
      <w:r w:rsidRPr="00A04969">
        <w:rPr>
          <w:rFonts w:ascii="Times New Roman" w:hAnsi="Times New Roman" w:cs="Times New Roman"/>
          <w:sz w:val="20"/>
          <w:szCs w:val="20"/>
        </w:rPr>
        <w:t xml:space="preserve"> at 17.</w:t>
      </w:r>
      <w:proofErr w:type="gramEnd"/>
    </w:p>
  </w:footnote>
  <w:footnote w:id="93">
    <w:p w14:paraId="1EB29753" w14:textId="4659CFAE" w:rsidR="00D43BBB" w:rsidRPr="00A04969" w:rsidRDefault="00D43BBB" w:rsidP="002420B7">
      <w:pPr>
        <w:rPr>
          <w:rFonts w:eastAsia="Times New Roman"/>
          <w:color w:val="000000"/>
          <w:sz w:val="20"/>
          <w:szCs w:val="20"/>
          <w:lang w:val="en-US"/>
        </w:rPr>
      </w:pPr>
      <w:r w:rsidRPr="00A04969">
        <w:rPr>
          <w:rStyle w:val="FootnoteReference"/>
          <w:sz w:val="20"/>
          <w:szCs w:val="20"/>
        </w:rPr>
        <w:footnoteRef/>
      </w:r>
      <w:r w:rsidRPr="00A04969">
        <w:rPr>
          <w:sz w:val="20"/>
          <w:szCs w:val="20"/>
        </w:rPr>
        <w:t xml:space="preserve"> </w:t>
      </w:r>
      <w:r w:rsidRPr="00A04969">
        <w:rPr>
          <w:i/>
          <w:sz w:val="20"/>
          <w:szCs w:val="20"/>
        </w:rPr>
        <w:t>See, e.g</w:t>
      </w:r>
      <w:r w:rsidRPr="00A04969">
        <w:rPr>
          <w:sz w:val="20"/>
          <w:szCs w:val="20"/>
        </w:rPr>
        <w:t>., Arctic Council Kiruna Declaration (2013) (“</w:t>
      </w:r>
      <w:r w:rsidRPr="00A04969">
        <w:rPr>
          <w:sz w:val="20"/>
          <w:szCs w:val="20"/>
          <w:lang w:val="en-US"/>
        </w:rPr>
        <w:t>recognizing the rights of the Indigenous Peoples and interests of all Arctic inhabitants, and emphasizing that a fundamental strength of the Council is the unique role played by Arctic Indigenous Peoples”); Inuit Circumpolar Council, Inuit Arctic Policy (</w:t>
      </w:r>
      <w:proofErr w:type="spellStart"/>
      <w:r w:rsidRPr="00A04969">
        <w:rPr>
          <w:sz w:val="20"/>
          <w:szCs w:val="20"/>
          <w:lang w:val="en-US"/>
        </w:rPr>
        <w:t>n.d.</w:t>
      </w:r>
      <w:proofErr w:type="spellEnd"/>
      <w:r w:rsidRPr="00A04969">
        <w:rPr>
          <w:sz w:val="20"/>
          <w:szCs w:val="20"/>
          <w:lang w:val="en-US"/>
        </w:rPr>
        <w:t xml:space="preserve">) [hereinafter ICC Arctic Policy]; </w:t>
      </w:r>
      <w:r w:rsidRPr="00A04969">
        <w:rPr>
          <w:i/>
          <w:sz w:val="20"/>
          <w:szCs w:val="20"/>
          <w:lang w:val="en-US"/>
        </w:rPr>
        <w:t>See also</w:t>
      </w:r>
      <w:r w:rsidRPr="00A04969">
        <w:rPr>
          <w:sz w:val="20"/>
          <w:szCs w:val="20"/>
          <w:lang w:val="en-US"/>
        </w:rPr>
        <w:t xml:space="preserve"> U.S. Government Accountability Office, </w:t>
      </w:r>
      <w:r w:rsidRPr="00A04969">
        <w:rPr>
          <w:rFonts w:eastAsia="Times New Roman"/>
          <w:color w:val="000000"/>
          <w:sz w:val="20"/>
          <w:szCs w:val="20"/>
          <w:lang w:val="en-US"/>
        </w:rPr>
        <w:t>Better Direction and Management of Voluntary Recommendations Could Enhance U.S. Arctic Council Participation, #14-435 at 28 (2014) (noting the challenge that agencies have in incorporating Alaska Native input into Arctic policymaking process)</w:t>
      </w:r>
      <w:r w:rsidRPr="00A04969">
        <w:rPr>
          <w:sz w:val="20"/>
          <w:szCs w:val="20"/>
          <w:lang w:val="en-US"/>
        </w:rPr>
        <w:t>.</w:t>
      </w:r>
    </w:p>
  </w:footnote>
  <w:footnote w:id="94">
    <w:p w14:paraId="44640FA3" w14:textId="77777777" w:rsidR="00D43BBB" w:rsidRPr="00A04969" w:rsidRDefault="00D43BBB" w:rsidP="002420B7">
      <w:pPr>
        <w:rPr>
          <w:rFonts w:eastAsia="Times New Roman"/>
          <w:color w:val="000000"/>
          <w:sz w:val="20"/>
          <w:szCs w:val="20"/>
          <w:lang w:val="en-US"/>
        </w:rPr>
      </w:pPr>
      <w:r w:rsidRPr="00A04969">
        <w:rPr>
          <w:rStyle w:val="FootnoteReference"/>
          <w:sz w:val="20"/>
          <w:szCs w:val="20"/>
        </w:rPr>
        <w:footnoteRef/>
      </w:r>
      <w:r w:rsidRPr="00A04969">
        <w:rPr>
          <w:sz w:val="20"/>
          <w:szCs w:val="20"/>
        </w:rPr>
        <w:t xml:space="preserve"> Anchorage Declaration, </w:t>
      </w:r>
      <w:r w:rsidRPr="00A04969">
        <w:rPr>
          <w:rFonts w:eastAsia="Times New Roman"/>
          <w:color w:val="000000"/>
          <w:sz w:val="20"/>
          <w:szCs w:val="20"/>
          <w:lang w:val="en-US"/>
        </w:rPr>
        <w:t>Indigenous Peoples’ Global Summit on Climate Change (2009) [hereinafter Anchorage Declaration].</w:t>
      </w:r>
    </w:p>
  </w:footnote>
  <w:footnote w:id="95">
    <w:p w14:paraId="4DB8BACD" w14:textId="59C3F406"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Best Practices in Historic Preservation, </w:t>
      </w:r>
      <w:r w:rsidRPr="00A04969">
        <w:rPr>
          <w:rFonts w:ascii="Times New Roman" w:hAnsi="Times New Roman" w:cs="Times New Roman"/>
          <w:i/>
          <w:sz w:val="20"/>
          <w:szCs w:val="20"/>
        </w:rPr>
        <w:t>supra</w:t>
      </w:r>
      <w:r w:rsidRPr="00A04969">
        <w:rPr>
          <w:rFonts w:ascii="Times New Roman" w:hAnsi="Times New Roman" w:cs="Times New Roman"/>
          <w:sz w:val="20"/>
          <w:szCs w:val="20"/>
        </w:rPr>
        <w:t xml:space="preserve"> n. </w:t>
      </w:r>
      <w:r w:rsidRPr="00A04969">
        <w:rPr>
          <w:rFonts w:ascii="Times New Roman" w:hAnsi="Times New Roman" w:cs="Times New Roman"/>
          <w:sz w:val="20"/>
          <w:szCs w:val="20"/>
        </w:rPr>
        <w:fldChar w:fldCharType="begin"/>
      </w:r>
      <w:r w:rsidRPr="00A04969">
        <w:rPr>
          <w:rFonts w:ascii="Times New Roman" w:hAnsi="Times New Roman" w:cs="Times New Roman"/>
          <w:sz w:val="20"/>
          <w:szCs w:val="20"/>
        </w:rPr>
        <w:instrText xml:space="preserve"> NOTEREF _Ref334082751 \h </w:instrText>
      </w:r>
      <w:r w:rsidRPr="00A04969">
        <w:rPr>
          <w:rFonts w:ascii="Times New Roman" w:hAnsi="Times New Roman" w:cs="Times New Roman"/>
          <w:sz w:val="20"/>
          <w:szCs w:val="20"/>
        </w:rPr>
      </w:r>
      <w:r w:rsidRPr="00A04969">
        <w:rPr>
          <w:rFonts w:ascii="Times New Roman" w:hAnsi="Times New Roman" w:cs="Times New Roman"/>
          <w:sz w:val="20"/>
          <w:szCs w:val="20"/>
        </w:rPr>
        <w:fldChar w:fldCharType="separate"/>
      </w:r>
      <w:r>
        <w:rPr>
          <w:rFonts w:ascii="Times New Roman" w:hAnsi="Times New Roman" w:cs="Times New Roman"/>
          <w:sz w:val="20"/>
          <w:szCs w:val="20"/>
        </w:rPr>
        <w:t>65</w:t>
      </w:r>
      <w:r w:rsidRPr="00A04969">
        <w:rPr>
          <w:rFonts w:ascii="Times New Roman" w:hAnsi="Times New Roman" w:cs="Times New Roman"/>
          <w:sz w:val="20"/>
          <w:szCs w:val="20"/>
        </w:rPr>
        <w:fldChar w:fldCharType="end"/>
      </w:r>
      <w:r w:rsidRPr="00A04969">
        <w:rPr>
          <w:rFonts w:ascii="Times New Roman" w:hAnsi="Times New Roman" w:cs="Times New Roman"/>
          <w:sz w:val="20"/>
          <w:szCs w:val="20"/>
        </w:rPr>
        <w:t xml:space="preserve"> at 11.</w:t>
      </w:r>
    </w:p>
  </w:footnote>
  <w:footnote w:id="96">
    <w:p w14:paraId="42E33B77" w14:textId="77777777"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proofErr w:type="gramStart"/>
      <w:r w:rsidRPr="00A04969">
        <w:rPr>
          <w:rFonts w:ascii="Times New Roman" w:hAnsi="Times New Roman" w:cs="Times New Roman"/>
          <w:sz w:val="20"/>
          <w:szCs w:val="20"/>
        </w:rPr>
        <w:t xml:space="preserve">ILO, </w:t>
      </w:r>
      <w:r w:rsidRPr="00A04969">
        <w:rPr>
          <w:rFonts w:ascii="Times New Roman" w:hAnsi="Times New Roman" w:cs="Times New Roman"/>
          <w:color w:val="3A3A3A"/>
          <w:sz w:val="20"/>
          <w:szCs w:val="20"/>
        </w:rPr>
        <w:t>Understanding the Indigenous and Tribal Peoples Convention (2013)</w:t>
      </w:r>
      <w:r w:rsidRPr="00A04969">
        <w:rPr>
          <w:rFonts w:ascii="Times New Roman" w:hAnsi="Times New Roman" w:cs="Times New Roman"/>
          <w:sz w:val="20"/>
          <w:szCs w:val="20"/>
        </w:rPr>
        <w:t xml:space="preserve"> at 16 [hereinafter ILO Handbook].</w:t>
      </w:r>
      <w:proofErr w:type="gramEnd"/>
    </w:p>
  </w:footnote>
  <w:footnote w:id="97">
    <w:p w14:paraId="753554DE" w14:textId="77777777" w:rsidR="00D43BBB" w:rsidRPr="00A04969" w:rsidRDefault="00D43BBB" w:rsidP="0061727C">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proofErr w:type="gramStart"/>
      <w:r w:rsidRPr="00A04969">
        <w:rPr>
          <w:rFonts w:ascii="Times New Roman" w:hAnsi="Times New Roman" w:cs="Times New Roman"/>
          <w:sz w:val="20"/>
          <w:szCs w:val="20"/>
        </w:rPr>
        <w:t xml:space="preserve">Global Compact Good Practices, </w:t>
      </w:r>
      <w:r w:rsidRPr="00A04969">
        <w:rPr>
          <w:rFonts w:ascii="Times New Roman" w:hAnsi="Times New Roman" w:cs="Times New Roman"/>
          <w:i/>
          <w:sz w:val="20"/>
          <w:szCs w:val="20"/>
        </w:rPr>
        <w:t>supra</w:t>
      </w:r>
      <w:r w:rsidRPr="00A04969">
        <w:rPr>
          <w:rFonts w:ascii="Times New Roman" w:hAnsi="Times New Roman" w:cs="Times New Roman"/>
          <w:sz w:val="20"/>
          <w:szCs w:val="20"/>
        </w:rPr>
        <w:t xml:space="preserve"> n. </w:t>
      </w:r>
      <w:r w:rsidRPr="00A04969">
        <w:rPr>
          <w:rFonts w:ascii="Times New Roman" w:hAnsi="Times New Roman" w:cs="Times New Roman"/>
          <w:sz w:val="20"/>
          <w:szCs w:val="20"/>
        </w:rPr>
        <w:fldChar w:fldCharType="begin"/>
      </w:r>
      <w:r w:rsidRPr="00A04969">
        <w:rPr>
          <w:rFonts w:ascii="Times New Roman" w:hAnsi="Times New Roman" w:cs="Times New Roman"/>
          <w:sz w:val="20"/>
          <w:szCs w:val="20"/>
        </w:rPr>
        <w:instrText xml:space="preserve"> NOTEREF _Ref334080159 \h </w:instrText>
      </w:r>
      <w:r w:rsidRPr="00A04969">
        <w:rPr>
          <w:rFonts w:ascii="Times New Roman" w:hAnsi="Times New Roman" w:cs="Times New Roman"/>
          <w:sz w:val="20"/>
          <w:szCs w:val="20"/>
        </w:rPr>
      </w:r>
      <w:r w:rsidRPr="00A04969">
        <w:rPr>
          <w:rFonts w:ascii="Times New Roman" w:hAnsi="Times New Roman" w:cs="Times New Roman"/>
          <w:sz w:val="20"/>
          <w:szCs w:val="20"/>
        </w:rPr>
        <w:fldChar w:fldCharType="separate"/>
      </w:r>
      <w:r>
        <w:rPr>
          <w:rFonts w:ascii="Times New Roman" w:hAnsi="Times New Roman" w:cs="Times New Roman"/>
          <w:sz w:val="20"/>
          <w:szCs w:val="20"/>
        </w:rPr>
        <w:t>40</w:t>
      </w:r>
      <w:r w:rsidRPr="00A04969">
        <w:rPr>
          <w:rFonts w:ascii="Times New Roman" w:hAnsi="Times New Roman" w:cs="Times New Roman"/>
          <w:sz w:val="20"/>
          <w:szCs w:val="20"/>
        </w:rPr>
        <w:fldChar w:fldCharType="end"/>
      </w:r>
      <w:r w:rsidRPr="00A04969">
        <w:rPr>
          <w:rFonts w:ascii="Times New Roman" w:hAnsi="Times New Roman" w:cs="Times New Roman"/>
          <w:sz w:val="20"/>
          <w:szCs w:val="20"/>
        </w:rPr>
        <w:t xml:space="preserve"> at 15.</w:t>
      </w:r>
      <w:proofErr w:type="gramEnd"/>
    </w:p>
  </w:footnote>
  <w:footnote w:id="98">
    <w:p w14:paraId="792976BB" w14:textId="77777777" w:rsidR="00D43BBB" w:rsidRPr="00A04969" w:rsidRDefault="00D43BBB" w:rsidP="0061727C">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r w:rsidRPr="00A04969">
        <w:rPr>
          <w:rFonts w:ascii="Times New Roman" w:hAnsi="Times New Roman" w:cs="Times New Roman"/>
          <w:i/>
          <w:sz w:val="20"/>
          <w:szCs w:val="20"/>
        </w:rPr>
        <w:t>Id.</w:t>
      </w:r>
    </w:p>
  </w:footnote>
  <w:footnote w:id="99">
    <w:p w14:paraId="226D1AC6" w14:textId="788AFC16"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proofErr w:type="gramStart"/>
      <w:r w:rsidRPr="00A04969">
        <w:rPr>
          <w:rFonts w:ascii="Times New Roman" w:hAnsi="Times New Roman" w:cs="Times New Roman"/>
          <w:sz w:val="20"/>
          <w:szCs w:val="20"/>
        </w:rPr>
        <w:t>ILO Handbook at 23.</w:t>
      </w:r>
      <w:proofErr w:type="gramEnd"/>
    </w:p>
  </w:footnote>
  <w:footnote w:id="100">
    <w:p w14:paraId="4EA8EFE7" w14:textId="2FCBE93C"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AMAP Oil and Gas, </w:t>
      </w:r>
      <w:r w:rsidRPr="00A04969">
        <w:rPr>
          <w:rFonts w:ascii="Times New Roman" w:hAnsi="Times New Roman" w:cs="Times New Roman"/>
          <w:i/>
          <w:sz w:val="20"/>
          <w:szCs w:val="20"/>
        </w:rPr>
        <w:t>supra</w:t>
      </w:r>
      <w:r w:rsidRPr="00A04969">
        <w:rPr>
          <w:rFonts w:ascii="Times New Roman" w:hAnsi="Times New Roman" w:cs="Times New Roman"/>
          <w:sz w:val="20"/>
          <w:szCs w:val="20"/>
        </w:rPr>
        <w:t xml:space="preserve"> n. </w:t>
      </w:r>
      <w:r w:rsidRPr="00A04969">
        <w:rPr>
          <w:rFonts w:ascii="Times New Roman" w:hAnsi="Times New Roman" w:cs="Times New Roman"/>
          <w:sz w:val="20"/>
          <w:szCs w:val="20"/>
        </w:rPr>
        <w:fldChar w:fldCharType="begin"/>
      </w:r>
      <w:r w:rsidRPr="00A04969">
        <w:rPr>
          <w:rFonts w:ascii="Times New Roman" w:hAnsi="Times New Roman" w:cs="Times New Roman"/>
          <w:sz w:val="20"/>
          <w:szCs w:val="20"/>
        </w:rPr>
        <w:instrText xml:space="preserve"> NOTEREF _Ref333994849 \h </w:instrText>
      </w:r>
      <w:r w:rsidRPr="00A04969">
        <w:rPr>
          <w:rFonts w:ascii="Times New Roman" w:hAnsi="Times New Roman" w:cs="Times New Roman"/>
          <w:sz w:val="20"/>
          <w:szCs w:val="20"/>
        </w:rPr>
      </w:r>
      <w:r w:rsidRPr="00A04969">
        <w:rPr>
          <w:rFonts w:ascii="Times New Roman" w:hAnsi="Times New Roman" w:cs="Times New Roman"/>
          <w:sz w:val="20"/>
          <w:szCs w:val="20"/>
        </w:rPr>
        <w:fldChar w:fldCharType="separate"/>
      </w:r>
      <w:r>
        <w:rPr>
          <w:rFonts w:ascii="Times New Roman" w:hAnsi="Times New Roman" w:cs="Times New Roman"/>
          <w:sz w:val="20"/>
          <w:szCs w:val="20"/>
        </w:rPr>
        <w:t>78</w:t>
      </w:r>
      <w:r w:rsidRPr="00A04969">
        <w:rPr>
          <w:rFonts w:ascii="Times New Roman" w:hAnsi="Times New Roman" w:cs="Times New Roman"/>
          <w:sz w:val="20"/>
          <w:szCs w:val="20"/>
        </w:rPr>
        <w:fldChar w:fldCharType="end"/>
      </w:r>
      <w:r w:rsidRPr="00A04969">
        <w:rPr>
          <w:rFonts w:ascii="Times New Roman" w:hAnsi="Times New Roman" w:cs="Times New Roman"/>
          <w:sz w:val="20"/>
          <w:szCs w:val="20"/>
        </w:rPr>
        <w:t xml:space="preserve"> at </w:t>
      </w:r>
      <w:proofErr w:type="gramStart"/>
      <w:r w:rsidRPr="00A04969">
        <w:rPr>
          <w:rFonts w:ascii="Times New Roman" w:hAnsi="Times New Roman" w:cs="Times New Roman"/>
          <w:sz w:val="20"/>
          <w:szCs w:val="20"/>
        </w:rPr>
        <w:t>vi</w:t>
      </w:r>
      <w:proofErr w:type="gramEnd"/>
      <w:r w:rsidRPr="00A04969">
        <w:rPr>
          <w:rFonts w:ascii="Times New Roman" w:hAnsi="Times New Roman" w:cs="Times New Roman"/>
          <w:sz w:val="20"/>
          <w:szCs w:val="20"/>
        </w:rPr>
        <w:t>.</w:t>
      </w:r>
    </w:p>
  </w:footnote>
  <w:footnote w:id="101">
    <w:p w14:paraId="728D6736" w14:textId="77777777" w:rsidR="00D43BBB" w:rsidRPr="00A04969" w:rsidRDefault="00D43BBB" w:rsidP="00A80BD9">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r w:rsidRPr="00A04969">
        <w:rPr>
          <w:rFonts w:ascii="Times New Roman" w:hAnsi="Times New Roman" w:cs="Times New Roman"/>
          <w:i/>
          <w:sz w:val="20"/>
          <w:szCs w:val="20"/>
        </w:rPr>
        <w:t>See, e.g.</w:t>
      </w:r>
      <w:r w:rsidRPr="00A04969">
        <w:rPr>
          <w:rFonts w:ascii="Times New Roman" w:hAnsi="Times New Roman" w:cs="Times New Roman"/>
          <w:sz w:val="20"/>
          <w:szCs w:val="20"/>
        </w:rPr>
        <w:t>, Temagami First Nation, Community Consultation Protocol, Step 3: Consultation at Exploration Stage (2013) [hereinafter Temagami Protocol].</w:t>
      </w:r>
    </w:p>
  </w:footnote>
  <w:footnote w:id="102">
    <w:p w14:paraId="42083FD1" w14:textId="77777777" w:rsidR="00D43BBB" w:rsidRPr="00A04969" w:rsidRDefault="00D43BBB" w:rsidP="002420B7">
      <w:pPr>
        <w:widowControl w:val="0"/>
        <w:autoSpaceDE w:val="0"/>
        <w:autoSpaceDN w:val="0"/>
        <w:adjustRightInd w:val="0"/>
        <w:rPr>
          <w:sz w:val="20"/>
          <w:szCs w:val="20"/>
        </w:rPr>
      </w:pPr>
      <w:r w:rsidRPr="00A04969">
        <w:rPr>
          <w:rStyle w:val="FootnoteReference"/>
          <w:sz w:val="20"/>
          <w:szCs w:val="20"/>
        </w:rPr>
        <w:footnoteRef/>
      </w:r>
      <w:r w:rsidRPr="00A04969">
        <w:rPr>
          <w:sz w:val="20"/>
          <w:szCs w:val="20"/>
        </w:rPr>
        <w:t xml:space="preserve"> </w:t>
      </w:r>
      <w:proofErr w:type="spellStart"/>
      <w:r w:rsidRPr="00A04969">
        <w:rPr>
          <w:sz w:val="20"/>
          <w:szCs w:val="20"/>
        </w:rPr>
        <w:t>Sahtu</w:t>
      </w:r>
      <w:proofErr w:type="spellEnd"/>
      <w:r w:rsidRPr="00A04969">
        <w:rPr>
          <w:sz w:val="20"/>
          <w:szCs w:val="20"/>
        </w:rPr>
        <w:t xml:space="preserve"> Dene and Métis Comprehensive Land Claim Agreement, Aug. 27, 1993, §22.1.2. Once the exploration right is granted, the grantee must first consult with the </w:t>
      </w:r>
      <w:proofErr w:type="spellStart"/>
      <w:r w:rsidRPr="00A04969">
        <w:rPr>
          <w:sz w:val="20"/>
          <w:szCs w:val="20"/>
        </w:rPr>
        <w:t>Sahtu</w:t>
      </w:r>
      <w:proofErr w:type="spellEnd"/>
      <w:r w:rsidRPr="00A04969">
        <w:rPr>
          <w:sz w:val="20"/>
          <w:szCs w:val="20"/>
        </w:rPr>
        <w:t xml:space="preserve"> Tribal Council to set out the parameters of that exploration. </w:t>
      </w:r>
      <w:r w:rsidRPr="00A04969">
        <w:rPr>
          <w:i/>
          <w:iCs/>
          <w:sz w:val="20"/>
          <w:szCs w:val="20"/>
        </w:rPr>
        <w:t xml:space="preserve">See id. </w:t>
      </w:r>
      <w:r w:rsidRPr="00A04969">
        <w:rPr>
          <w:sz w:val="20"/>
          <w:szCs w:val="20"/>
        </w:rPr>
        <w:t>§ 22.1.3.</w:t>
      </w:r>
    </w:p>
  </w:footnote>
  <w:footnote w:id="103">
    <w:p w14:paraId="6704972C" w14:textId="7A09AA25"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proofErr w:type="gramStart"/>
      <w:r w:rsidRPr="00A04969">
        <w:rPr>
          <w:rFonts w:ascii="Times New Roman" w:hAnsi="Times New Roman" w:cs="Times New Roman"/>
          <w:sz w:val="20"/>
          <w:szCs w:val="20"/>
        </w:rPr>
        <w:t xml:space="preserve">ICC Arctic Policy, </w:t>
      </w:r>
      <w:r w:rsidRPr="00A04969">
        <w:rPr>
          <w:rFonts w:ascii="Times New Roman" w:hAnsi="Times New Roman" w:cs="Times New Roman"/>
          <w:i/>
          <w:sz w:val="20"/>
          <w:szCs w:val="20"/>
        </w:rPr>
        <w:t>supra</w:t>
      </w:r>
      <w:r w:rsidRPr="00A04969">
        <w:rPr>
          <w:rFonts w:ascii="Times New Roman" w:hAnsi="Times New Roman" w:cs="Times New Roman"/>
          <w:sz w:val="20"/>
          <w:szCs w:val="20"/>
        </w:rPr>
        <w:t xml:space="preserve"> n. </w:t>
      </w:r>
      <w:r w:rsidRPr="00A04969">
        <w:rPr>
          <w:rFonts w:ascii="Times New Roman" w:hAnsi="Times New Roman" w:cs="Times New Roman"/>
          <w:sz w:val="20"/>
          <w:szCs w:val="20"/>
        </w:rPr>
        <w:fldChar w:fldCharType="begin"/>
      </w:r>
      <w:r w:rsidRPr="00A04969">
        <w:rPr>
          <w:rFonts w:ascii="Times New Roman" w:hAnsi="Times New Roman" w:cs="Times New Roman"/>
          <w:sz w:val="20"/>
          <w:szCs w:val="20"/>
        </w:rPr>
        <w:instrText xml:space="preserve"> NOTEREF _Ref333385533 </w:instrText>
      </w:r>
      <w:r w:rsidRPr="00A04969">
        <w:rPr>
          <w:rFonts w:ascii="Times New Roman" w:hAnsi="Times New Roman" w:cs="Times New Roman"/>
          <w:sz w:val="20"/>
          <w:szCs w:val="20"/>
        </w:rPr>
        <w:fldChar w:fldCharType="separate"/>
      </w:r>
      <w:r>
        <w:rPr>
          <w:rFonts w:ascii="Times New Roman" w:hAnsi="Times New Roman" w:cs="Times New Roman"/>
          <w:sz w:val="20"/>
          <w:szCs w:val="20"/>
        </w:rPr>
        <w:t>92</w:t>
      </w:r>
      <w:r w:rsidRPr="00A04969">
        <w:rPr>
          <w:rFonts w:ascii="Times New Roman" w:hAnsi="Times New Roman" w:cs="Times New Roman"/>
          <w:sz w:val="20"/>
          <w:szCs w:val="20"/>
        </w:rPr>
        <w:fldChar w:fldCharType="end"/>
      </w:r>
      <w:r w:rsidRPr="00A04969">
        <w:rPr>
          <w:rFonts w:ascii="Times New Roman" w:hAnsi="Times New Roman" w:cs="Times New Roman"/>
          <w:sz w:val="20"/>
          <w:szCs w:val="20"/>
        </w:rPr>
        <w:t>.</w:t>
      </w:r>
      <w:proofErr w:type="gramEnd"/>
    </w:p>
  </w:footnote>
  <w:footnote w:id="104">
    <w:p w14:paraId="00B2915C" w14:textId="618B8295" w:rsidR="00D43BBB" w:rsidRPr="00A04969" w:rsidRDefault="00D43BBB" w:rsidP="002420B7">
      <w:pPr>
        <w:pStyle w:val="NormalWeb"/>
        <w:spacing w:before="0" w:beforeAutospacing="0" w:after="0" w:afterAutospacing="0"/>
        <w:rPr>
          <w:rFonts w:ascii="Times New Roman" w:hAnsi="Times New Roman"/>
        </w:rPr>
      </w:pPr>
      <w:r w:rsidRPr="00A04969">
        <w:rPr>
          <w:rStyle w:val="FootnoteReference"/>
          <w:rFonts w:ascii="Times New Roman" w:hAnsi="Times New Roman"/>
        </w:rPr>
        <w:footnoteRef/>
      </w:r>
      <w:r w:rsidRPr="00A04969">
        <w:rPr>
          <w:rFonts w:ascii="Times New Roman" w:hAnsi="Times New Roman"/>
        </w:rPr>
        <w:t xml:space="preserve"> </w:t>
      </w:r>
      <w:proofErr w:type="spellStart"/>
      <w:proofErr w:type="gramStart"/>
      <w:r w:rsidRPr="00A04969">
        <w:rPr>
          <w:rFonts w:ascii="Times New Roman" w:hAnsi="Times New Roman"/>
        </w:rPr>
        <w:t>Ginoogaming</w:t>
      </w:r>
      <w:proofErr w:type="spellEnd"/>
      <w:r w:rsidRPr="00A04969">
        <w:rPr>
          <w:rFonts w:ascii="Times New Roman" w:hAnsi="Times New Roman"/>
        </w:rPr>
        <w:t xml:space="preserve"> Consultation Protocol, </w:t>
      </w:r>
      <w:r w:rsidRPr="00A04969">
        <w:rPr>
          <w:rFonts w:ascii="Times New Roman" w:hAnsi="Times New Roman"/>
          <w:i/>
        </w:rPr>
        <w:t xml:space="preserve">supra </w:t>
      </w:r>
      <w:r w:rsidRPr="00A04969">
        <w:rPr>
          <w:rFonts w:ascii="Times New Roman" w:hAnsi="Times New Roman"/>
        </w:rPr>
        <w:t xml:space="preserve">n. </w:t>
      </w:r>
      <w:r w:rsidRPr="00A04969">
        <w:rPr>
          <w:rFonts w:ascii="Times New Roman" w:hAnsi="Times New Roman"/>
          <w:highlight w:val="cyan"/>
        </w:rPr>
        <w:fldChar w:fldCharType="begin"/>
      </w:r>
      <w:r w:rsidRPr="00A04969">
        <w:rPr>
          <w:rFonts w:ascii="Times New Roman" w:hAnsi="Times New Roman"/>
        </w:rPr>
        <w:instrText xml:space="preserve"> NOTEREF _Ref333999948 \h </w:instrText>
      </w:r>
      <w:r w:rsidRPr="00A04969">
        <w:rPr>
          <w:rFonts w:ascii="Times New Roman" w:hAnsi="Times New Roman"/>
          <w:highlight w:val="cyan"/>
        </w:rPr>
      </w:r>
      <w:r w:rsidRPr="00A04969">
        <w:rPr>
          <w:rFonts w:ascii="Times New Roman" w:hAnsi="Times New Roman"/>
          <w:highlight w:val="cyan"/>
        </w:rPr>
        <w:fldChar w:fldCharType="separate"/>
      </w:r>
      <w:r>
        <w:rPr>
          <w:rFonts w:ascii="Times New Roman" w:hAnsi="Times New Roman"/>
        </w:rPr>
        <w:t>46</w:t>
      </w:r>
      <w:r w:rsidRPr="00A04969">
        <w:rPr>
          <w:rFonts w:ascii="Times New Roman" w:hAnsi="Times New Roman"/>
          <w:highlight w:val="cyan"/>
        </w:rPr>
        <w:fldChar w:fldCharType="end"/>
      </w:r>
      <w:r w:rsidRPr="00A04969">
        <w:rPr>
          <w:rFonts w:ascii="Times New Roman" w:hAnsi="Times New Roman"/>
        </w:rPr>
        <w:t xml:space="preserve"> at 7 (explaining that a meaningful role in environmental assessment includes establishing the scope and terms of reference for the assessment).</w:t>
      </w:r>
      <w:proofErr w:type="gramEnd"/>
    </w:p>
  </w:footnote>
  <w:footnote w:id="105">
    <w:p w14:paraId="5D7F3A15" w14:textId="77777777" w:rsidR="00D43BBB" w:rsidRPr="00A04969" w:rsidRDefault="00D43BBB" w:rsidP="002420B7">
      <w:pPr>
        <w:widowControl w:val="0"/>
        <w:autoSpaceDE w:val="0"/>
        <w:autoSpaceDN w:val="0"/>
        <w:adjustRightInd w:val="0"/>
        <w:rPr>
          <w:sz w:val="20"/>
          <w:szCs w:val="20"/>
        </w:rPr>
      </w:pPr>
      <w:r w:rsidRPr="00A04969">
        <w:rPr>
          <w:rStyle w:val="FootnoteReference"/>
          <w:sz w:val="20"/>
          <w:szCs w:val="20"/>
        </w:rPr>
        <w:footnoteRef/>
      </w:r>
      <w:r w:rsidRPr="00A04969">
        <w:rPr>
          <w:sz w:val="20"/>
          <w:szCs w:val="20"/>
        </w:rPr>
        <w:t xml:space="preserve"> </w:t>
      </w:r>
      <w:proofErr w:type="spellStart"/>
      <w:r w:rsidRPr="00A04969">
        <w:rPr>
          <w:sz w:val="20"/>
          <w:szCs w:val="20"/>
        </w:rPr>
        <w:t>Fidler</w:t>
      </w:r>
      <w:proofErr w:type="spellEnd"/>
      <w:r w:rsidRPr="00A04969">
        <w:rPr>
          <w:sz w:val="20"/>
          <w:szCs w:val="20"/>
        </w:rPr>
        <w:t xml:space="preserve">, C. and Noble, B., </w:t>
      </w:r>
      <w:r w:rsidRPr="00A04969">
        <w:rPr>
          <w:i/>
          <w:sz w:val="20"/>
          <w:szCs w:val="20"/>
        </w:rPr>
        <w:t>Advancing strategic environmental assessment in the offshore oil and gas sector: Lessons from Norway, Canada, and the United Kingdom</w:t>
      </w:r>
      <w:r w:rsidRPr="00A04969">
        <w:rPr>
          <w:sz w:val="20"/>
          <w:szCs w:val="20"/>
        </w:rPr>
        <w:t xml:space="preserve">, 34 </w:t>
      </w:r>
      <w:proofErr w:type="spellStart"/>
      <w:r w:rsidRPr="00A04969">
        <w:rPr>
          <w:sz w:val="20"/>
          <w:szCs w:val="20"/>
        </w:rPr>
        <w:t>Envt’l</w:t>
      </w:r>
      <w:proofErr w:type="spellEnd"/>
      <w:r w:rsidRPr="00A04969">
        <w:rPr>
          <w:sz w:val="20"/>
          <w:szCs w:val="20"/>
        </w:rPr>
        <w:t xml:space="preserve"> Impact Assessment Rev. 12, 15 (2012).</w:t>
      </w:r>
    </w:p>
  </w:footnote>
  <w:footnote w:id="106">
    <w:p w14:paraId="046A013E" w14:textId="11E32EC0"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proofErr w:type="gramStart"/>
      <w:r w:rsidRPr="00A04969">
        <w:rPr>
          <w:rFonts w:ascii="Times New Roman" w:hAnsi="Times New Roman" w:cs="Times New Roman"/>
          <w:sz w:val="20"/>
          <w:szCs w:val="20"/>
        </w:rPr>
        <w:t xml:space="preserve">ICC Arctic Policy, </w:t>
      </w:r>
      <w:r w:rsidRPr="00A04969">
        <w:rPr>
          <w:rFonts w:ascii="Times New Roman" w:hAnsi="Times New Roman" w:cs="Times New Roman"/>
          <w:i/>
          <w:sz w:val="20"/>
          <w:szCs w:val="20"/>
        </w:rPr>
        <w:t>supra</w:t>
      </w:r>
      <w:r w:rsidRPr="00A04969">
        <w:rPr>
          <w:rFonts w:ascii="Times New Roman" w:hAnsi="Times New Roman" w:cs="Times New Roman"/>
          <w:sz w:val="20"/>
          <w:szCs w:val="20"/>
        </w:rPr>
        <w:t xml:space="preserve"> n. </w:t>
      </w:r>
      <w:r w:rsidRPr="00A04969">
        <w:rPr>
          <w:rFonts w:ascii="Times New Roman" w:hAnsi="Times New Roman" w:cs="Times New Roman"/>
          <w:sz w:val="20"/>
          <w:szCs w:val="20"/>
        </w:rPr>
        <w:fldChar w:fldCharType="begin"/>
      </w:r>
      <w:r w:rsidRPr="00A04969">
        <w:rPr>
          <w:rFonts w:ascii="Times New Roman" w:hAnsi="Times New Roman" w:cs="Times New Roman"/>
          <w:sz w:val="20"/>
          <w:szCs w:val="20"/>
        </w:rPr>
        <w:instrText xml:space="preserve"> NOTEREF _Ref333385533 </w:instrText>
      </w:r>
      <w:r w:rsidRPr="00A04969">
        <w:rPr>
          <w:rFonts w:ascii="Times New Roman" w:hAnsi="Times New Roman" w:cs="Times New Roman"/>
          <w:sz w:val="20"/>
          <w:szCs w:val="20"/>
        </w:rPr>
        <w:fldChar w:fldCharType="separate"/>
      </w:r>
      <w:r>
        <w:rPr>
          <w:rFonts w:ascii="Times New Roman" w:hAnsi="Times New Roman" w:cs="Times New Roman"/>
          <w:sz w:val="20"/>
          <w:szCs w:val="20"/>
        </w:rPr>
        <w:t>92</w:t>
      </w:r>
      <w:r w:rsidRPr="00A04969">
        <w:rPr>
          <w:rFonts w:ascii="Times New Roman" w:hAnsi="Times New Roman" w:cs="Times New Roman"/>
          <w:sz w:val="20"/>
          <w:szCs w:val="20"/>
        </w:rPr>
        <w:fldChar w:fldCharType="end"/>
      </w:r>
      <w:r w:rsidRPr="00A04969">
        <w:rPr>
          <w:rFonts w:ascii="Times New Roman" w:hAnsi="Times New Roman" w:cs="Times New Roman"/>
          <w:sz w:val="20"/>
          <w:szCs w:val="20"/>
        </w:rPr>
        <w:t>.</w:t>
      </w:r>
      <w:proofErr w:type="gramEnd"/>
    </w:p>
  </w:footnote>
  <w:footnote w:id="107">
    <w:p w14:paraId="6ABA530A" w14:textId="77777777" w:rsidR="00D43BBB" w:rsidRPr="00A04969" w:rsidRDefault="00D43BBB" w:rsidP="002420B7">
      <w:pPr>
        <w:widowControl w:val="0"/>
        <w:autoSpaceDE w:val="0"/>
        <w:autoSpaceDN w:val="0"/>
        <w:adjustRightInd w:val="0"/>
        <w:rPr>
          <w:sz w:val="20"/>
          <w:szCs w:val="20"/>
          <w:lang w:val="en-US"/>
        </w:rPr>
      </w:pPr>
      <w:r w:rsidRPr="00A04969">
        <w:rPr>
          <w:rStyle w:val="FootnoteReference"/>
          <w:sz w:val="20"/>
          <w:szCs w:val="20"/>
        </w:rPr>
        <w:footnoteRef/>
      </w:r>
      <w:r w:rsidRPr="00A04969">
        <w:rPr>
          <w:sz w:val="20"/>
          <w:szCs w:val="20"/>
        </w:rPr>
        <w:t xml:space="preserve"> Marquez, J. and Eagles, P., </w:t>
      </w:r>
      <w:r w:rsidRPr="00A04969">
        <w:rPr>
          <w:bCs/>
          <w:i/>
          <w:sz w:val="20"/>
          <w:szCs w:val="20"/>
          <w:lang w:val="en-US"/>
        </w:rPr>
        <w:t>Working Towards Policy Creation For Cruise Ship Tourism In Parks And Protected Areas Of Nunavut</w:t>
      </w:r>
      <w:r w:rsidRPr="00A04969">
        <w:rPr>
          <w:sz w:val="20"/>
          <w:szCs w:val="20"/>
          <w:lang w:val="en-US"/>
        </w:rPr>
        <w:t>, 4:2 Tourism in Marine Environments</w:t>
      </w:r>
      <w:r w:rsidRPr="00A04969">
        <w:rPr>
          <w:i/>
          <w:iCs/>
          <w:sz w:val="20"/>
          <w:szCs w:val="20"/>
          <w:lang w:val="en-US"/>
        </w:rPr>
        <w:t xml:space="preserve">, </w:t>
      </w:r>
      <w:r w:rsidRPr="00A04969">
        <w:rPr>
          <w:sz w:val="20"/>
          <w:szCs w:val="20"/>
          <w:lang w:val="en-US"/>
        </w:rPr>
        <w:t>6-8 (2007).</w:t>
      </w:r>
    </w:p>
  </w:footnote>
  <w:footnote w:id="108">
    <w:p w14:paraId="07AD2CBB" w14:textId="3B1D6741"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proofErr w:type="gramStart"/>
      <w:r w:rsidRPr="00A04969">
        <w:rPr>
          <w:rFonts w:ascii="Times New Roman" w:hAnsi="Times New Roman" w:cs="Times New Roman"/>
          <w:sz w:val="20"/>
          <w:szCs w:val="20"/>
        </w:rPr>
        <w:t xml:space="preserve">ILO Handbook, </w:t>
      </w:r>
      <w:r w:rsidRPr="00A04969">
        <w:rPr>
          <w:rFonts w:ascii="Times New Roman" w:hAnsi="Times New Roman" w:cs="Times New Roman"/>
          <w:i/>
          <w:sz w:val="20"/>
          <w:szCs w:val="20"/>
        </w:rPr>
        <w:t>supra</w:t>
      </w:r>
      <w:r w:rsidRPr="00A04969">
        <w:rPr>
          <w:rFonts w:ascii="Times New Roman" w:hAnsi="Times New Roman" w:cs="Times New Roman"/>
          <w:sz w:val="20"/>
          <w:szCs w:val="20"/>
        </w:rPr>
        <w:t xml:space="preserve"> n. </w:t>
      </w:r>
      <w:r w:rsidRPr="00A04969">
        <w:rPr>
          <w:rFonts w:ascii="Times New Roman" w:hAnsi="Times New Roman" w:cs="Times New Roman"/>
          <w:sz w:val="20"/>
          <w:szCs w:val="20"/>
        </w:rPr>
        <w:fldChar w:fldCharType="begin"/>
      </w:r>
      <w:r w:rsidRPr="00A04969">
        <w:rPr>
          <w:rFonts w:ascii="Times New Roman" w:hAnsi="Times New Roman" w:cs="Times New Roman"/>
          <w:sz w:val="20"/>
          <w:szCs w:val="20"/>
        </w:rPr>
        <w:instrText xml:space="preserve"> NOTEREF _Ref333349219 \h </w:instrText>
      </w:r>
      <w:r w:rsidRPr="00A04969">
        <w:rPr>
          <w:rFonts w:ascii="Times New Roman" w:hAnsi="Times New Roman" w:cs="Times New Roman"/>
          <w:sz w:val="20"/>
          <w:szCs w:val="20"/>
        </w:rPr>
      </w:r>
      <w:r w:rsidRPr="00A04969">
        <w:rPr>
          <w:rFonts w:ascii="Times New Roman" w:hAnsi="Times New Roman" w:cs="Times New Roman"/>
          <w:sz w:val="20"/>
          <w:szCs w:val="20"/>
        </w:rPr>
        <w:fldChar w:fldCharType="separate"/>
      </w:r>
      <w:r>
        <w:rPr>
          <w:rFonts w:ascii="Times New Roman" w:hAnsi="Times New Roman" w:cs="Times New Roman"/>
          <w:sz w:val="20"/>
          <w:szCs w:val="20"/>
        </w:rPr>
        <w:t>95</w:t>
      </w:r>
      <w:r w:rsidRPr="00A04969">
        <w:rPr>
          <w:rFonts w:ascii="Times New Roman" w:hAnsi="Times New Roman" w:cs="Times New Roman"/>
          <w:sz w:val="20"/>
          <w:szCs w:val="20"/>
        </w:rPr>
        <w:fldChar w:fldCharType="end"/>
      </w:r>
      <w:r w:rsidRPr="00A04969">
        <w:rPr>
          <w:rFonts w:ascii="Times New Roman" w:hAnsi="Times New Roman" w:cs="Times New Roman"/>
          <w:sz w:val="20"/>
          <w:szCs w:val="20"/>
        </w:rPr>
        <w:t xml:space="preserve"> at 19.</w:t>
      </w:r>
      <w:proofErr w:type="gramEnd"/>
    </w:p>
  </w:footnote>
  <w:footnote w:id="109">
    <w:p w14:paraId="0C8733C8" w14:textId="2F2B86A2"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Akwé Kon: Voluntary Guidelines, </w:t>
      </w:r>
      <w:r w:rsidRPr="00A04969">
        <w:rPr>
          <w:rFonts w:ascii="Times New Roman" w:hAnsi="Times New Roman" w:cs="Times New Roman"/>
          <w:i/>
          <w:sz w:val="20"/>
          <w:szCs w:val="20"/>
        </w:rPr>
        <w:t>supra</w:t>
      </w:r>
      <w:r w:rsidRPr="00A04969">
        <w:rPr>
          <w:rFonts w:ascii="Times New Roman" w:hAnsi="Times New Roman" w:cs="Times New Roman"/>
          <w:sz w:val="20"/>
          <w:szCs w:val="20"/>
        </w:rPr>
        <w:t xml:space="preserve"> n. </w:t>
      </w:r>
      <w:r w:rsidRPr="00A04969">
        <w:rPr>
          <w:rFonts w:ascii="Times New Roman" w:hAnsi="Times New Roman" w:cs="Times New Roman"/>
          <w:sz w:val="20"/>
          <w:szCs w:val="20"/>
        </w:rPr>
        <w:fldChar w:fldCharType="begin"/>
      </w:r>
      <w:r w:rsidRPr="00A04969">
        <w:rPr>
          <w:rFonts w:ascii="Times New Roman" w:hAnsi="Times New Roman" w:cs="Times New Roman"/>
          <w:sz w:val="20"/>
          <w:szCs w:val="20"/>
        </w:rPr>
        <w:instrText xml:space="preserve"> NOTEREF _Ref333348796 \h </w:instrText>
      </w:r>
      <w:r w:rsidRPr="00A04969">
        <w:rPr>
          <w:rFonts w:ascii="Times New Roman" w:hAnsi="Times New Roman" w:cs="Times New Roman"/>
          <w:sz w:val="20"/>
          <w:szCs w:val="20"/>
        </w:rPr>
      </w:r>
      <w:r w:rsidRPr="00A04969">
        <w:rPr>
          <w:rFonts w:ascii="Times New Roman" w:hAnsi="Times New Roman" w:cs="Times New Roman"/>
          <w:sz w:val="20"/>
          <w:szCs w:val="20"/>
        </w:rPr>
        <w:fldChar w:fldCharType="separate"/>
      </w:r>
      <w:r>
        <w:rPr>
          <w:rFonts w:ascii="Times New Roman" w:hAnsi="Times New Roman" w:cs="Times New Roman"/>
          <w:sz w:val="20"/>
          <w:szCs w:val="20"/>
        </w:rPr>
        <w:t>13</w:t>
      </w:r>
      <w:r w:rsidRPr="00A04969">
        <w:rPr>
          <w:rFonts w:ascii="Times New Roman" w:hAnsi="Times New Roman" w:cs="Times New Roman"/>
          <w:sz w:val="20"/>
          <w:szCs w:val="20"/>
        </w:rPr>
        <w:fldChar w:fldCharType="end"/>
      </w:r>
      <w:r w:rsidRPr="00A04969">
        <w:rPr>
          <w:rFonts w:ascii="Times New Roman" w:hAnsi="Times New Roman" w:cs="Times New Roman"/>
          <w:sz w:val="20"/>
          <w:szCs w:val="20"/>
        </w:rPr>
        <w:t xml:space="preserve"> at 22, 24.</w:t>
      </w:r>
    </w:p>
  </w:footnote>
  <w:footnote w:id="110">
    <w:p w14:paraId="6F37A889" w14:textId="31747AAF"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r w:rsidRPr="00A04969">
        <w:rPr>
          <w:rFonts w:ascii="Times New Roman" w:hAnsi="Times New Roman" w:cs="Times New Roman"/>
          <w:color w:val="000000"/>
          <w:sz w:val="20"/>
          <w:szCs w:val="20"/>
        </w:rPr>
        <w:t>Nuiqsut Heritage - A Cultural Plan at 41(1979).</w:t>
      </w:r>
    </w:p>
  </w:footnote>
  <w:footnote w:id="111">
    <w:p w14:paraId="14675AEA" w14:textId="6ADAAC00"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r w:rsidRPr="00A04969">
        <w:rPr>
          <w:rFonts w:ascii="Times New Roman" w:hAnsi="Times New Roman" w:cs="Times New Roman"/>
          <w:bCs/>
          <w:color w:val="000000"/>
          <w:sz w:val="20"/>
          <w:szCs w:val="20"/>
        </w:rPr>
        <w:t xml:space="preserve">Gambell Local Economic Development Plan </w:t>
      </w:r>
      <w:r w:rsidRPr="00A04969">
        <w:rPr>
          <w:rFonts w:ascii="Times New Roman" w:eastAsiaTheme="minorHAnsi" w:hAnsi="Times New Roman" w:cs="Times New Roman"/>
          <w:bCs/>
          <w:color w:val="000000"/>
          <w:sz w:val="20"/>
          <w:szCs w:val="20"/>
        </w:rPr>
        <w:t>2012-2017.</w:t>
      </w:r>
    </w:p>
  </w:footnote>
  <w:footnote w:id="112">
    <w:p w14:paraId="0BAD6013" w14:textId="53854208"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proofErr w:type="gramStart"/>
      <w:r w:rsidRPr="00A04969">
        <w:rPr>
          <w:rFonts w:ascii="Times New Roman" w:hAnsi="Times New Roman" w:cs="Times New Roman"/>
          <w:sz w:val="20"/>
          <w:szCs w:val="20"/>
        </w:rPr>
        <w:t>Artic Council, Arctic Marine Shipping Assessment at 6 (2009) [hereinafter AMSA].</w:t>
      </w:r>
      <w:proofErr w:type="gramEnd"/>
    </w:p>
  </w:footnote>
  <w:footnote w:id="113">
    <w:p w14:paraId="47EC4BA0" w14:textId="70D60019" w:rsidR="00D43BBB" w:rsidRPr="00A04969" w:rsidRDefault="00D43BBB" w:rsidP="002420B7">
      <w:pPr>
        <w:rPr>
          <w:rFonts w:eastAsia="Times New Roman"/>
          <w:color w:val="000000"/>
          <w:sz w:val="20"/>
          <w:szCs w:val="20"/>
          <w:lang w:val="en-US"/>
        </w:rPr>
      </w:pPr>
      <w:r w:rsidRPr="00A04969">
        <w:rPr>
          <w:rStyle w:val="FootnoteReference"/>
          <w:sz w:val="20"/>
          <w:szCs w:val="20"/>
        </w:rPr>
        <w:footnoteRef/>
      </w:r>
      <w:r w:rsidRPr="00A04969">
        <w:rPr>
          <w:sz w:val="20"/>
          <w:szCs w:val="20"/>
        </w:rPr>
        <w:t xml:space="preserve"> Kawerak, Inc., </w:t>
      </w:r>
      <w:r w:rsidRPr="00A04969">
        <w:rPr>
          <w:rFonts w:eastAsia="Times New Roman"/>
          <w:i/>
          <w:color w:val="000000"/>
          <w:sz w:val="20"/>
          <w:szCs w:val="20"/>
          <w:lang w:val="en-US"/>
        </w:rPr>
        <w:t>Qualitative Participatory Mapping of Seal and Walrus Harvest and Habitat Areas: Documenting Indigenous Knowledge, Preserving Local Values, and Discouraging Map Misuse,</w:t>
      </w:r>
      <w:r w:rsidRPr="00A04969">
        <w:rPr>
          <w:rFonts w:eastAsia="Times New Roman"/>
          <w:color w:val="000000"/>
          <w:sz w:val="20"/>
          <w:szCs w:val="20"/>
          <w:lang w:val="en-US"/>
        </w:rPr>
        <w:t xml:space="preserve"> 6:1 Int’l J. Applied Geospatial Research 76-93 (Jan-Mar. 2015).</w:t>
      </w:r>
    </w:p>
  </w:footnote>
  <w:footnote w:id="114">
    <w:p w14:paraId="259B7B3F" w14:textId="1F32DC90" w:rsidR="00D43BBB" w:rsidRPr="00A04969" w:rsidRDefault="00D43BBB" w:rsidP="002420B7">
      <w:pPr>
        <w:rPr>
          <w:rFonts w:eastAsia="Times New Roman"/>
          <w:color w:val="000000"/>
          <w:sz w:val="20"/>
          <w:szCs w:val="20"/>
          <w:lang w:val="en-US"/>
        </w:rPr>
      </w:pPr>
      <w:r w:rsidRPr="00A04969">
        <w:rPr>
          <w:rStyle w:val="FootnoteReference"/>
          <w:sz w:val="20"/>
          <w:szCs w:val="20"/>
        </w:rPr>
        <w:footnoteRef/>
      </w:r>
      <w:r w:rsidRPr="00A04969">
        <w:rPr>
          <w:sz w:val="20"/>
          <w:szCs w:val="20"/>
        </w:rPr>
        <w:t xml:space="preserve"> Kawerak, Inc., </w:t>
      </w:r>
      <w:r w:rsidRPr="00A04969">
        <w:rPr>
          <w:rFonts w:eastAsia="Times New Roman"/>
          <w:color w:val="000000"/>
          <w:sz w:val="20"/>
          <w:szCs w:val="20"/>
          <w:lang w:val="en-US"/>
        </w:rPr>
        <w:t>Traditions of Respect (2013).</w:t>
      </w:r>
    </w:p>
  </w:footnote>
  <w:footnote w:id="115">
    <w:p w14:paraId="58D3EF3C" w14:textId="77777777" w:rsidR="00D43BBB" w:rsidRPr="00A04969" w:rsidRDefault="00D43BBB" w:rsidP="002420B7">
      <w:pPr>
        <w:rPr>
          <w:rFonts w:eastAsia="Times New Roman"/>
          <w:color w:val="000000"/>
          <w:sz w:val="20"/>
          <w:szCs w:val="20"/>
          <w:lang w:val="en-US"/>
        </w:rPr>
      </w:pPr>
      <w:r w:rsidRPr="00A04969">
        <w:rPr>
          <w:rStyle w:val="FootnoteReference"/>
          <w:sz w:val="20"/>
          <w:szCs w:val="20"/>
        </w:rPr>
        <w:footnoteRef/>
      </w:r>
      <w:r w:rsidRPr="00A04969">
        <w:rPr>
          <w:sz w:val="20"/>
          <w:szCs w:val="20"/>
        </w:rPr>
        <w:t xml:space="preserve"> Alaska Nanuuq Commission, </w:t>
      </w:r>
      <w:r w:rsidRPr="00A04969">
        <w:rPr>
          <w:rFonts w:eastAsia="Times New Roman"/>
          <w:color w:val="000000"/>
          <w:sz w:val="20"/>
          <w:szCs w:val="20"/>
          <w:lang w:val="en-US"/>
        </w:rPr>
        <w:t>Nanuuq: Local and Traditional Ecological Knowledge of Polar Bears in the Bering and Chukchi Seas (2012).</w:t>
      </w:r>
    </w:p>
  </w:footnote>
  <w:footnote w:id="116">
    <w:p w14:paraId="54019308" w14:textId="7AA55C5E"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proofErr w:type="gramStart"/>
      <w:r w:rsidRPr="00A04969">
        <w:rPr>
          <w:rFonts w:ascii="Times New Roman" w:hAnsi="Times New Roman" w:cs="Times New Roman"/>
          <w:bCs/>
          <w:sz w:val="20"/>
          <w:szCs w:val="20"/>
        </w:rPr>
        <w:t>Mackenzie Valley Resource Management Act - S.C. 1998, c. 25 (Section 46).</w:t>
      </w:r>
      <w:proofErr w:type="gramEnd"/>
    </w:p>
  </w:footnote>
  <w:footnote w:id="117">
    <w:p w14:paraId="0369CB35" w14:textId="26EA9F84" w:rsidR="00D43BBB" w:rsidRPr="00A04969" w:rsidRDefault="00D43BBB" w:rsidP="002420B7">
      <w:pPr>
        <w:pStyle w:val="NormalWeb"/>
        <w:spacing w:before="0" w:beforeAutospacing="0" w:after="0" w:afterAutospacing="0"/>
        <w:rPr>
          <w:rFonts w:ascii="Times New Roman" w:hAnsi="Times New Roman"/>
        </w:rPr>
      </w:pPr>
      <w:r w:rsidRPr="00A04969">
        <w:rPr>
          <w:rStyle w:val="FootnoteReference"/>
          <w:rFonts w:ascii="Times New Roman" w:hAnsi="Times New Roman"/>
        </w:rPr>
        <w:footnoteRef/>
      </w:r>
      <w:r w:rsidRPr="00A04969">
        <w:rPr>
          <w:rFonts w:ascii="Times New Roman" w:hAnsi="Times New Roman"/>
        </w:rPr>
        <w:t xml:space="preserve"> </w:t>
      </w:r>
      <w:proofErr w:type="gramStart"/>
      <w:r w:rsidRPr="00A04969">
        <w:rPr>
          <w:rFonts w:ascii="Times New Roman" w:hAnsi="Times New Roman"/>
        </w:rPr>
        <w:t>American Indian Tribal Rights, Federal-Tribal Trust Responsibilities, and the Endangered Species Act, Secretarial Order 3206 (June 5, 1997) [hereinafter Sec. Order 3206].</w:t>
      </w:r>
      <w:proofErr w:type="gramEnd"/>
    </w:p>
  </w:footnote>
  <w:footnote w:id="118">
    <w:p w14:paraId="01BB802E" w14:textId="14FBB2A2" w:rsidR="00D43BBB" w:rsidRPr="00A04969" w:rsidRDefault="00D43BBB" w:rsidP="002420B7">
      <w:pPr>
        <w:widowControl w:val="0"/>
        <w:autoSpaceDE w:val="0"/>
        <w:autoSpaceDN w:val="0"/>
        <w:adjustRightInd w:val="0"/>
        <w:rPr>
          <w:sz w:val="20"/>
          <w:szCs w:val="20"/>
        </w:rPr>
      </w:pPr>
      <w:r w:rsidRPr="00A04969">
        <w:rPr>
          <w:rStyle w:val="FootnoteReference"/>
          <w:sz w:val="20"/>
          <w:szCs w:val="20"/>
        </w:rPr>
        <w:footnoteRef/>
      </w:r>
      <w:r w:rsidRPr="00A04969">
        <w:rPr>
          <w:sz w:val="20"/>
          <w:szCs w:val="20"/>
        </w:rPr>
        <w:t xml:space="preserve"> </w:t>
      </w:r>
      <w:proofErr w:type="gramStart"/>
      <w:r w:rsidRPr="00A04969">
        <w:rPr>
          <w:sz w:val="20"/>
          <w:szCs w:val="20"/>
          <w:lang w:val="en-US"/>
        </w:rPr>
        <w:t>Canadian Aboriginal Minerals Association.</w:t>
      </w:r>
      <w:proofErr w:type="gramEnd"/>
    </w:p>
  </w:footnote>
  <w:footnote w:id="119">
    <w:p w14:paraId="5EB2CA21" w14:textId="000D16BF" w:rsidR="00D43BBB" w:rsidRPr="00A04969" w:rsidRDefault="00D43BBB" w:rsidP="002420B7">
      <w:pPr>
        <w:widowControl w:val="0"/>
        <w:numPr>
          <w:ilvl w:val="0"/>
          <w:numId w:val="1"/>
        </w:numPr>
        <w:tabs>
          <w:tab w:val="left" w:pos="220"/>
          <w:tab w:val="left" w:pos="720"/>
        </w:tabs>
        <w:autoSpaceDE w:val="0"/>
        <w:autoSpaceDN w:val="0"/>
        <w:adjustRightInd w:val="0"/>
        <w:ind w:left="0" w:firstLine="0"/>
        <w:rPr>
          <w:sz w:val="20"/>
          <w:szCs w:val="20"/>
        </w:rPr>
      </w:pPr>
      <w:r w:rsidRPr="00A04969">
        <w:rPr>
          <w:rStyle w:val="FootnoteReference"/>
          <w:sz w:val="20"/>
          <w:szCs w:val="20"/>
        </w:rPr>
        <w:footnoteRef/>
      </w:r>
      <w:r w:rsidRPr="00A04969">
        <w:rPr>
          <w:sz w:val="20"/>
          <w:szCs w:val="20"/>
        </w:rPr>
        <w:t xml:space="preserve"> </w:t>
      </w:r>
      <w:r w:rsidRPr="00A04969">
        <w:rPr>
          <w:i/>
          <w:sz w:val="20"/>
          <w:szCs w:val="20"/>
        </w:rPr>
        <w:t>See, e.g.</w:t>
      </w:r>
      <w:r w:rsidRPr="00A04969">
        <w:rPr>
          <w:sz w:val="20"/>
          <w:szCs w:val="20"/>
        </w:rPr>
        <w:t xml:space="preserve">, 16 U.S.C. § 3120(a) (2012); </w:t>
      </w:r>
      <w:r w:rsidRPr="00A04969">
        <w:rPr>
          <w:i/>
          <w:sz w:val="20"/>
          <w:szCs w:val="20"/>
        </w:rPr>
        <w:t>See also</w:t>
      </w:r>
      <w:r w:rsidRPr="00A04969">
        <w:rPr>
          <w:sz w:val="20"/>
          <w:szCs w:val="20"/>
        </w:rPr>
        <w:t xml:space="preserve">, </w:t>
      </w:r>
      <w:r w:rsidRPr="00A04969">
        <w:rPr>
          <w:rFonts w:eastAsia="Times New Roman"/>
          <w:color w:val="000000"/>
          <w:sz w:val="20"/>
          <w:szCs w:val="20"/>
          <w:lang w:val="en-US"/>
        </w:rPr>
        <w:t>Procedures for Consultations between State Authorities and The Saami Parliament (2005).</w:t>
      </w:r>
      <w:r w:rsidRPr="00A04969">
        <w:rPr>
          <w:sz w:val="20"/>
          <w:szCs w:val="20"/>
        </w:rPr>
        <w:t xml:space="preserve"> </w:t>
      </w:r>
    </w:p>
  </w:footnote>
  <w:footnote w:id="120">
    <w:p w14:paraId="6AEABDDF" w14:textId="1B9A5A4A" w:rsidR="00D43BBB" w:rsidRPr="00A04969" w:rsidRDefault="00D43BBB" w:rsidP="002420B7">
      <w:pPr>
        <w:widowControl w:val="0"/>
        <w:autoSpaceDE w:val="0"/>
        <w:autoSpaceDN w:val="0"/>
        <w:adjustRightInd w:val="0"/>
        <w:rPr>
          <w:sz w:val="20"/>
          <w:szCs w:val="20"/>
        </w:rPr>
      </w:pPr>
      <w:r w:rsidRPr="00A04969">
        <w:rPr>
          <w:rStyle w:val="FootnoteReference"/>
          <w:sz w:val="20"/>
          <w:szCs w:val="20"/>
        </w:rPr>
        <w:footnoteRef/>
      </w:r>
      <w:r w:rsidRPr="00A04969">
        <w:rPr>
          <w:sz w:val="20"/>
          <w:szCs w:val="20"/>
        </w:rPr>
        <w:t xml:space="preserve"> The National Congress of American Indians recommends that this information be provided a minimum of two month before the first meeting. Testimony of the of American Indians Before the House Natural Resources Committee on HR 5608 “Consultation and Coordination with Indian Tribal Governments Act” April 9, 2008, Proposed minimum requirements of a valid consultation prior to taking federal action [hereinafter NCAI Testimony].</w:t>
      </w:r>
    </w:p>
  </w:footnote>
  <w:footnote w:id="121">
    <w:p w14:paraId="4A83066D" w14:textId="298AC56C" w:rsidR="00D43BBB" w:rsidRPr="00A04969" w:rsidRDefault="00D43BBB" w:rsidP="002420B7">
      <w:pPr>
        <w:pStyle w:val="NormalWeb"/>
        <w:spacing w:before="0" w:beforeAutospacing="0" w:after="0" w:afterAutospacing="0"/>
        <w:rPr>
          <w:rFonts w:ascii="Times New Roman" w:hAnsi="Times New Roman"/>
        </w:rPr>
      </w:pPr>
      <w:r w:rsidRPr="00A04969">
        <w:rPr>
          <w:rStyle w:val="FootnoteReference"/>
          <w:rFonts w:ascii="Times New Roman" w:hAnsi="Times New Roman"/>
        </w:rPr>
        <w:footnoteRef/>
      </w:r>
      <w:r w:rsidRPr="00A04969">
        <w:rPr>
          <w:rFonts w:ascii="Times New Roman" w:hAnsi="Times New Roman"/>
        </w:rPr>
        <w:t xml:space="preserve"> Report of the </w:t>
      </w:r>
      <w:r w:rsidRPr="00A04969">
        <w:rPr>
          <w:rFonts w:ascii="Times New Roman" w:hAnsi="Times New Roman"/>
          <w:iCs/>
        </w:rPr>
        <w:t>International Workshop on Methodologies Regarding Free Prior and Informed Consent</w:t>
      </w:r>
      <w:r w:rsidRPr="00A04969">
        <w:rPr>
          <w:rFonts w:ascii="Times New Roman" w:hAnsi="Times New Roman"/>
          <w:i/>
          <w:iCs/>
        </w:rPr>
        <w:t xml:space="preserve">, </w:t>
      </w:r>
      <w:r w:rsidRPr="00A04969">
        <w:rPr>
          <w:rFonts w:ascii="Times New Roman" w:hAnsi="Times New Roman"/>
        </w:rPr>
        <w:t xml:space="preserve">E/C.19/2005/3 </w:t>
      </w:r>
      <w:r w:rsidRPr="00A04969">
        <w:rPr>
          <w:rFonts w:ascii="Times New Roman" w:hAnsi="Times New Roman"/>
          <w:bCs/>
        </w:rPr>
        <w:t>(Feb. 17, 2005) [hereinafter FPIC Methodologies Report].</w:t>
      </w:r>
    </w:p>
  </w:footnote>
  <w:footnote w:id="122">
    <w:p w14:paraId="1F9A6B87" w14:textId="10A58316"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Carrier Sekani Tribal Council, </w:t>
      </w:r>
      <w:r w:rsidRPr="00A04969">
        <w:rPr>
          <w:rFonts w:ascii="Times New Roman" w:hAnsi="Times New Roman" w:cs="Times New Roman"/>
          <w:bCs/>
          <w:sz w:val="20"/>
          <w:szCs w:val="20"/>
        </w:rPr>
        <w:t>First Nations Perspectives on the BC Environmental Assessment Process For Discussion Purposes</w:t>
      </w:r>
      <w:r w:rsidRPr="00A04969">
        <w:rPr>
          <w:rFonts w:ascii="Times New Roman" w:hAnsi="Times New Roman" w:cs="Times New Roman"/>
          <w:sz w:val="20"/>
          <w:szCs w:val="20"/>
        </w:rPr>
        <w:t xml:space="preserve"> at 9 (2007) [hereinafter Carrier Sekani Tribal Council Perspectives].</w:t>
      </w:r>
    </w:p>
  </w:footnote>
  <w:footnote w:id="123">
    <w:p w14:paraId="021BCB0D" w14:textId="05ED057A"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proofErr w:type="gramStart"/>
      <w:r w:rsidRPr="00A04969">
        <w:rPr>
          <w:rFonts w:ascii="Times New Roman" w:hAnsi="Times New Roman" w:cs="Times New Roman"/>
          <w:sz w:val="20"/>
          <w:szCs w:val="20"/>
        </w:rPr>
        <w:t>Global Compact Good Practice</w:t>
      </w:r>
      <w:r w:rsidRPr="00A04969">
        <w:rPr>
          <w:rFonts w:ascii="Times New Roman" w:hAnsi="Times New Roman" w:cs="Times New Roman"/>
          <w:i/>
          <w:sz w:val="20"/>
          <w:szCs w:val="20"/>
        </w:rPr>
        <w:t>,</w:t>
      </w:r>
      <w:r w:rsidRPr="00A04969">
        <w:rPr>
          <w:rFonts w:ascii="Times New Roman" w:hAnsi="Times New Roman" w:cs="Times New Roman"/>
          <w:sz w:val="20"/>
          <w:szCs w:val="20"/>
        </w:rPr>
        <w:t xml:space="preserve"> </w:t>
      </w:r>
      <w:r w:rsidRPr="00A04969">
        <w:rPr>
          <w:rFonts w:ascii="Times New Roman" w:hAnsi="Times New Roman" w:cs="Times New Roman"/>
          <w:i/>
          <w:sz w:val="20"/>
          <w:szCs w:val="20"/>
        </w:rPr>
        <w:t>supra</w:t>
      </w:r>
      <w:r w:rsidRPr="00A04969">
        <w:rPr>
          <w:rFonts w:ascii="Times New Roman" w:hAnsi="Times New Roman" w:cs="Times New Roman"/>
          <w:sz w:val="20"/>
          <w:szCs w:val="20"/>
        </w:rPr>
        <w:t xml:space="preserve"> n. </w:t>
      </w:r>
      <w:r w:rsidRPr="00A04969">
        <w:rPr>
          <w:rFonts w:ascii="Times New Roman" w:hAnsi="Times New Roman" w:cs="Times New Roman"/>
          <w:sz w:val="20"/>
          <w:szCs w:val="20"/>
        </w:rPr>
        <w:fldChar w:fldCharType="begin"/>
      </w:r>
      <w:r w:rsidRPr="00A04969">
        <w:rPr>
          <w:rFonts w:ascii="Times New Roman" w:hAnsi="Times New Roman" w:cs="Times New Roman"/>
          <w:sz w:val="20"/>
          <w:szCs w:val="20"/>
        </w:rPr>
        <w:instrText xml:space="preserve"> NOTEREF _Ref334080159 \h </w:instrText>
      </w:r>
      <w:r w:rsidRPr="00A04969">
        <w:rPr>
          <w:rFonts w:ascii="Times New Roman" w:hAnsi="Times New Roman" w:cs="Times New Roman"/>
          <w:sz w:val="20"/>
          <w:szCs w:val="20"/>
        </w:rPr>
      </w:r>
      <w:r w:rsidRPr="00A04969">
        <w:rPr>
          <w:rFonts w:ascii="Times New Roman" w:hAnsi="Times New Roman" w:cs="Times New Roman"/>
          <w:sz w:val="20"/>
          <w:szCs w:val="20"/>
        </w:rPr>
        <w:fldChar w:fldCharType="separate"/>
      </w:r>
      <w:r>
        <w:rPr>
          <w:rFonts w:ascii="Times New Roman" w:hAnsi="Times New Roman" w:cs="Times New Roman"/>
          <w:sz w:val="20"/>
          <w:szCs w:val="20"/>
        </w:rPr>
        <w:t>40</w:t>
      </w:r>
      <w:r w:rsidRPr="00A04969">
        <w:rPr>
          <w:rFonts w:ascii="Times New Roman" w:hAnsi="Times New Roman" w:cs="Times New Roman"/>
          <w:sz w:val="20"/>
          <w:szCs w:val="20"/>
        </w:rPr>
        <w:fldChar w:fldCharType="end"/>
      </w:r>
      <w:r w:rsidRPr="00A04969">
        <w:rPr>
          <w:rFonts w:ascii="Times New Roman" w:hAnsi="Times New Roman" w:cs="Times New Roman"/>
          <w:sz w:val="20"/>
          <w:szCs w:val="20"/>
        </w:rPr>
        <w:t xml:space="preserve"> at 14.</w:t>
      </w:r>
      <w:proofErr w:type="gramEnd"/>
    </w:p>
  </w:footnote>
  <w:footnote w:id="124">
    <w:p w14:paraId="42B206BA" w14:textId="28685F53" w:rsidR="00D43BBB" w:rsidRPr="00A04969" w:rsidRDefault="00D43BBB">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Good Practices in Community Engagement and Readiness, </w:t>
      </w:r>
      <w:r w:rsidRPr="00A04969">
        <w:rPr>
          <w:rFonts w:ascii="Times New Roman" w:hAnsi="Times New Roman" w:cs="Times New Roman"/>
          <w:i/>
          <w:sz w:val="20"/>
          <w:szCs w:val="20"/>
        </w:rPr>
        <w:t>supra</w:t>
      </w:r>
      <w:r w:rsidRPr="00A04969">
        <w:rPr>
          <w:rFonts w:ascii="Times New Roman" w:hAnsi="Times New Roman" w:cs="Times New Roman"/>
          <w:sz w:val="20"/>
          <w:szCs w:val="20"/>
        </w:rPr>
        <w:t xml:space="preserve"> n. </w:t>
      </w:r>
      <w:r w:rsidRPr="00A04969">
        <w:rPr>
          <w:rFonts w:ascii="Times New Roman" w:hAnsi="Times New Roman" w:cs="Times New Roman"/>
          <w:sz w:val="20"/>
          <w:szCs w:val="20"/>
        </w:rPr>
        <w:fldChar w:fldCharType="begin"/>
      </w:r>
      <w:r w:rsidRPr="00A04969">
        <w:rPr>
          <w:rFonts w:ascii="Times New Roman" w:hAnsi="Times New Roman" w:cs="Times New Roman"/>
          <w:sz w:val="20"/>
          <w:szCs w:val="20"/>
        </w:rPr>
        <w:instrText xml:space="preserve"> NOTEREF _Ref334100176 \h </w:instrText>
      </w:r>
      <w:r w:rsidRPr="00A04969">
        <w:rPr>
          <w:rFonts w:ascii="Times New Roman" w:hAnsi="Times New Roman" w:cs="Times New Roman"/>
          <w:sz w:val="20"/>
          <w:szCs w:val="20"/>
        </w:rPr>
      </w:r>
      <w:r w:rsidRPr="00A04969">
        <w:rPr>
          <w:rFonts w:ascii="Times New Roman" w:hAnsi="Times New Roman" w:cs="Times New Roman"/>
          <w:sz w:val="20"/>
          <w:szCs w:val="20"/>
        </w:rPr>
        <w:fldChar w:fldCharType="separate"/>
      </w:r>
      <w:r>
        <w:rPr>
          <w:rFonts w:ascii="Times New Roman" w:hAnsi="Times New Roman" w:cs="Times New Roman"/>
          <w:sz w:val="20"/>
          <w:szCs w:val="20"/>
        </w:rPr>
        <w:t>87</w:t>
      </w:r>
      <w:r w:rsidRPr="00A04969">
        <w:rPr>
          <w:rFonts w:ascii="Times New Roman" w:hAnsi="Times New Roman" w:cs="Times New Roman"/>
          <w:sz w:val="20"/>
          <w:szCs w:val="20"/>
        </w:rPr>
        <w:fldChar w:fldCharType="end"/>
      </w:r>
      <w:r w:rsidRPr="00A04969">
        <w:rPr>
          <w:rFonts w:ascii="Times New Roman" w:hAnsi="Times New Roman" w:cs="Times New Roman"/>
          <w:sz w:val="20"/>
          <w:szCs w:val="20"/>
        </w:rPr>
        <w:t xml:space="preserve"> at 30.</w:t>
      </w:r>
    </w:p>
  </w:footnote>
  <w:footnote w:id="125">
    <w:p w14:paraId="2698FCE7" w14:textId="13128CAA"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proofErr w:type="gramStart"/>
      <w:r w:rsidRPr="00A04969">
        <w:rPr>
          <w:rFonts w:ascii="Times New Roman" w:eastAsia="Times New Roman" w:hAnsi="Times New Roman" w:cs="Times New Roman"/>
          <w:sz w:val="20"/>
          <w:szCs w:val="20"/>
        </w:rPr>
        <w:t xml:space="preserve">AMSA Roadmap Workshop Report, supra n. </w:t>
      </w:r>
      <w:r w:rsidRPr="00A04969">
        <w:rPr>
          <w:rFonts w:ascii="Times New Roman" w:eastAsia="Times New Roman" w:hAnsi="Times New Roman" w:cs="Times New Roman"/>
          <w:sz w:val="20"/>
          <w:szCs w:val="20"/>
        </w:rPr>
        <w:fldChar w:fldCharType="begin"/>
      </w:r>
      <w:r w:rsidRPr="00A04969">
        <w:rPr>
          <w:rFonts w:ascii="Times New Roman" w:eastAsia="Times New Roman" w:hAnsi="Times New Roman" w:cs="Times New Roman"/>
          <w:sz w:val="20"/>
          <w:szCs w:val="20"/>
        </w:rPr>
        <w:instrText xml:space="preserve"> NOTEREF _Ref333605256 </w:instrText>
      </w:r>
      <w:r w:rsidRPr="00A04969">
        <w:rPr>
          <w:rFonts w:ascii="Times New Roman" w:eastAsia="Times New Roman" w:hAnsi="Times New Roman" w:cs="Times New Roman"/>
          <w:sz w:val="20"/>
          <w:szCs w:val="20"/>
        </w:rPr>
        <w:fldChar w:fldCharType="separate"/>
      </w:r>
      <w:r>
        <w:rPr>
          <w:rFonts w:ascii="Times New Roman" w:eastAsia="Times New Roman" w:hAnsi="Times New Roman" w:cs="Times New Roman"/>
          <w:sz w:val="20"/>
          <w:szCs w:val="20"/>
        </w:rPr>
        <w:t>80</w:t>
      </w:r>
      <w:r w:rsidRPr="00A04969">
        <w:rPr>
          <w:rFonts w:ascii="Times New Roman" w:eastAsia="Times New Roman" w:hAnsi="Times New Roman" w:cs="Times New Roman"/>
          <w:sz w:val="20"/>
          <w:szCs w:val="20"/>
        </w:rPr>
        <w:fldChar w:fldCharType="end"/>
      </w:r>
      <w:r w:rsidRPr="00A04969">
        <w:rPr>
          <w:rFonts w:ascii="Times New Roman" w:eastAsia="Times New Roman" w:hAnsi="Times New Roman" w:cs="Times New Roman"/>
          <w:sz w:val="20"/>
          <w:szCs w:val="20"/>
        </w:rPr>
        <w:t xml:space="preserve"> at 9.</w:t>
      </w:r>
      <w:proofErr w:type="gramEnd"/>
    </w:p>
  </w:footnote>
  <w:footnote w:id="126">
    <w:p w14:paraId="78E64136" w14:textId="4D084F95"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r w:rsidRPr="00A04969">
        <w:rPr>
          <w:rFonts w:ascii="Times New Roman" w:hAnsi="Times New Roman" w:cs="Times New Roman"/>
          <w:i/>
          <w:sz w:val="20"/>
          <w:szCs w:val="20"/>
        </w:rPr>
        <w:t xml:space="preserve">See, e.g., </w:t>
      </w:r>
      <w:r w:rsidRPr="00A04969">
        <w:rPr>
          <w:rFonts w:ascii="Times New Roman" w:hAnsi="Times New Roman" w:cs="Times New Roman"/>
          <w:sz w:val="20"/>
          <w:szCs w:val="20"/>
        </w:rPr>
        <w:t xml:space="preserve">ITK Guide for Communities, </w:t>
      </w:r>
      <w:r w:rsidRPr="00A04969">
        <w:rPr>
          <w:rFonts w:ascii="Times New Roman" w:hAnsi="Times New Roman" w:cs="Times New Roman"/>
          <w:i/>
          <w:sz w:val="20"/>
          <w:szCs w:val="20"/>
        </w:rPr>
        <w:t>supra</w:t>
      </w:r>
      <w:r w:rsidRPr="00A04969">
        <w:rPr>
          <w:rFonts w:ascii="Times New Roman" w:hAnsi="Times New Roman" w:cs="Times New Roman"/>
          <w:sz w:val="20"/>
          <w:szCs w:val="20"/>
        </w:rPr>
        <w:t xml:space="preserve"> n. </w:t>
      </w:r>
      <w:r w:rsidRPr="00A04969">
        <w:rPr>
          <w:rFonts w:ascii="Times New Roman" w:hAnsi="Times New Roman" w:cs="Times New Roman"/>
          <w:sz w:val="20"/>
          <w:szCs w:val="20"/>
        </w:rPr>
        <w:fldChar w:fldCharType="begin"/>
      </w:r>
      <w:r w:rsidRPr="00A04969">
        <w:rPr>
          <w:rFonts w:ascii="Times New Roman" w:hAnsi="Times New Roman" w:cs="Times New Roman"/>
          <w:sz w:val="20"/>
          <w:szCs w:val="20"/>
        </w:rPr>
        <w:instrText xml:space="preserve"> NOTEREF _Ref333378845 </w:instrText>
      </w:r>
      <w:r w:rsidRPr="00A04969">
        <w:rPr>
          <w:rFonts w:ascii="Times New Roman" w:hAnsi="Times New Roman" w:cs="Times New Roman"/>
          <w:sz w:val="20"/>
          <w:szCs w:val="20"/>
        </w:rPr>
        <w:fldChar w:fldCharType="separate"/>
      </w:r>
      <w:r>
        <w:rPr>
          <w:rFonts w:ascii="Times New Roman" w:hAnsi="Times New Roman" w:cs="Times New Roman"/>
          <w:sz w:val="20"/>
          <w:szCs w:val="20"/>
        </w:rPr>
        <w:t>73</w:t>
      </w:r>
      <w:r w:rsidRPr="00A04969">
        <w:rPr>
          <w:rFonts w:ascii="Times New Roman" w:hAnsi="Times New Roman" w:cs="Times New Roman"/>
          <w:sz w:val="20"/>
          <w:szCs w:val="20"/>
        </w:rPr>
        <w:fldChar w:fldCharType="end"/>
      </w:r>
      <w:r w:rsidRPr="00A04969">
        <w:rPr>
          <w:rFonts w:ascii="Times New Roman" w:hAnsi="Times New Roman" w:cs="Times New Roman"/>
          <w:sz w:val="20"/>
          <w:szCs w:val="20"/>
        </w:rPr>
        <w:t xml:space="preserve">; Temagami Protocol, </w:t>
      </w:r>
      <w:r w:rsidRPr="00A04969">
        <w:rPr>
          <w:rFonts w:ascii="Times New Roman" w:hAnsi="Times New Roman" w:cs="Times New Roman"/>
          <w:i/>
          <w:sz w:val="20"/>
          <w:szCs w:val="20"/>
        </w:rPr>
        <w:t>supra</w:t>
      </w:r>
      <w:r w:rsidRPr="00A04969">
        <w:rPr>
          <w:rFonts w:ascii="Times New Roman" w:hAnsi="Times New Roman" w:cs="Times New Roman"/>
          <w:sz w:val="20"/>
          <w:szCs w:val="20"/>
        </w:rPr>
        <w:t xml:space="preserve"> n. </w:t>
      </w:r>
      <w:r w:rsidRPr="00A04969">
        <w:rPr>
          <w:rFonts w:ascii="Times New Roman" w:hAnsi="Times New Roman" w:cs="Times New Roman"/>
          <w:sz w:val="20"/>
          <w:szCs w:val="20"/>
        </w:rPr>
        <w:fldChar w:fldCharType="begin"/>
      </w:r>
      <w:r w:rsidRPr="00A04969">
        <w:rPr>
          <w:rFonts w:ascii="Times New Roman" w:hAnsi="Times New Roman" w:cs="Times New Roman"/>
          <w:sz w:val="20"/>
          <w:szCs w:val="20"/>
        </w:rPr>
        <w:instrText xml:space="preserve"> NOTEREF _Ref333349060 \h </w:instrText>
      </w:r>
      <w:r w:rsidRPr="00A04969">
        <w:rPr>
          <w:rFonts w:ascii="Times New Roman" w:hAnsi="Times New Roman" w:cs="Times New Roman"/>
          <w:sz w:val="20"/>
          <w:szCs w:val="20"/>
        </w:rPr>
      </w:r>
      <w:r w:rsidRPr="00A04969">
        <w:rPr>
          <w:rFonts w:ascii="Times New Roman" w:hAnsi="Times New Roman" w:cs="Times New Roman"/>
          <w:sz w:val="20"/>
          <w:szCs w:val="20"/>
        </w:rPr>
        <w:fldChar w:fldCharType="separate"/>
      </w:r>
      <w:r>
        <w:rPr>
          <w:rFonts w:ascii="Times New Roman" w:hAnsi="Times New Roman" w:cs="Times New Roman"/>
          <w:sz w:val="20"/>
          <w:szCs w:val="20"/>
        </w:rPr>
        <w:t>100</w:t>
      </w:r>
      <w:r w:rsidRPr="00A04969">
        <w:rPr>
          <w:rFonts w:ascii="Times New Roman" w:hAnsi="Times New Roman" w:cs="Times New Roman"/>
          <w:sz w:val="20"/>
          <w:szCs w:val="20"/>
        </w:rPr>
        <w:fldChar w:fldCharType="end"/>
      </w:r>
      <w:r w:rsidRPr="00A04969">
        <w:rPr>
          <w:rFonts w:ascii="Times New Roman" w:hAnsi="Times New Roman" w:cs="Times New Roman"/>
          <w:sz w:val="20"/>
          <w:szCs w:val="20"/>
        </w:rPr>
        <w:t>, Step 2: Screening (2013).</w:t>
      </w:r>
    </w:p>
  </w:footnote>
  <w:footnote w:id="127">
    <w:p w14:paraId="66E9D22D" w14:textId="38ACC14D" w:rsidR="00D43BBB" w:rsidRPr="00A04969" w:rsidRDefault="00D43BBB" w:rsidP="002420B7">
      <w:pPr>
        <w:rPr>
          <w:rFonts w:eastAsia="Times New Roman"/>
          <w:color w:val="000000"/>
          <w:sz w:val="20"/>
          <w:szCs w:val="20"/>
          <w:lang w:val="en-US"/>
        </w:rPr>
      </w:pPr>
      <w:r w:rsidRPr="00A04969">
        <w:rPr>
          <w:rStyle w:val="FootnoteReference"/>
          <w:sz w:val="20"/>
          <w:szCs w:val="20"/>
        </w:rPr>
        <w:footnoteRef/>
      </w:r>
      <w:r w:rsidRPr="00A04969">
        <w:rPr>
          <w:sz w:val="20"/>
          <w:szCs w:val="20"/>
        </w:rPr>
        <w:t xml:space="preserve"> </w:t>
      </w:r>
      <w:r w:rsidRPr="00A04969">
        <w:rPr>
          <w:i/>
          <w:sz w:val="20"/>
          <w:szCs w:val="20"/>
        </w:rPr>
        <w:t>See, e.g.,</w:t>
      </w:r>
      <w:r w:rsidRPr="00A04969">
        <w:rPr>
          <w:sz w:val="20"/>
          <w:szCs w:val="20"/>
        </w:rPr>
        <w:t xml:space="preserve"> </w:t>
      </w:r>
      <w:r w:rsidRPr="00A04969">
        <w:rPr>
          <w:rFonts w:eastAsia="Times New Roman"/>
          <w:color w:val="000000"/>
          <w:sz w:val="20"/>
          <w:szCs w:val="20"/>
          <w:lang w:val="en-US"/>
        </w:rPr>
        <w:t>Assembly of Alaska Native Educators, Guidelines for Respect Cultural Knowledge at 20 (2000)</w:t>
      </w:r>
      <w:r w:rsidRPr="00A04969">
        <w:rPr>
          <w:sz w:val="20"/>
          <w:szCs w:val="20"/>
        </w:rPr>
        <w:t xml:space="preserve"> (recommending that each community and region establish a process for reviewing and approving research proposals that may impact their area) [hereinafter AANE Guidelines].</w:t>
      </w:r>
    </w:p>
  </w:footnote>
  <w:footnote w:id="128">
    <w:p w14:paraId="72AF54C6" w14:textId="77777777"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r w:rsidRPr="00A04969">
        <w:rPr>
          <w:rFonts w:ascii="Times New Roman" w:hAnsi="Times New Roman" w:cs="Times New Roman"/>
          <w:i/>
          <w:sz w:val="20"/>
          <w:szCs w:val="20"/>
        </w:rPr>
        <w:t>See generally</w:t>
      </w:r>
      <w:r w:rsidRPr="00A04969">
        <w:rPr>
          <w:rFonts w:ascii="Times New Roman" w:hAnsi="Times New Roman" w:cs="Times New Roman"/>
          <w:sz w:val="20"/>
          <w:szCs w:val="20"/>
        </w:rPr>
        <w:t>, Environmental Law Institute, Handbook: Model Alaska Native Consultation Procedures for guidance in creating an Indigenous Consultation Policy (2016) [hereinafter ELI Consultation Handbook].</w:t>
      </w:r>
    </w:p>
  </w:footnote>
  <w:footnote w:id="129">
    <w:p w14:paraId="4B5427BD" w14:textId="3FAEFC5F"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r w:rsidRPr="00A04969">
        <w:rPr>
          <w:rFonts w:ascii="Times New Roman" w:hAnsi="Times New Roman" w:cs="Times New Roman"/>
          <w:i/>
          <w:sz w:val="20"/>
          <w:szCs w:val="20"/>
        </w:rPr>
        <w:t>See, e.g.,</w:t>
      </w:r>
      <w:r w:rsidRPr="00A04969">
        <w:rPr>
          <w:rFonts w:ascii="Times New Roman" w:hAnsi="Times New Roman" w:cs="Times New Roman"/>
          <w:sz w:val="20"/>
          <w:szCs w:val="20"/>
        </w:rPr>
        <w:t xml:space="preserve"> Beaver Lake Cree Nation Process for Consultation (2012); Policy for Consultation on the Referrals for Resource Development Activities within the Traditional Lands of the Frog Lake First Nation (2007).</w:t>
      </w:r>
    </w:p>
  </w:footnote>
  <w:footnote w:id="130">
    <w:p w14:paraId="493AC102" w14:textId="146470E7" w:rsidR="00D43BBB" w:rsidRPr="00A04969" w:rsidRDefault="00D43BBB" w:rsidP="002420B7">
      <w:pPr>
        <w:widowControl w:val="0"/>
        <w:autoSpaceDE w:val="0"/>
        <w:autoSpaceDN w:val="0"/>
        <w:adjustRightInd w:val="0"/>
        <w:rPr>
          <w:sz w:val="20"/>
          <w:szCs w:val="20"/>
          <w:lang w:val="en-US"/>
        </w:rPr>
      </w:pPr>
      <w:r w:rsidRPr="00A04969">
        <w:rPr>
          <w:rStyle w:val="FootnoteReference"/>
          <w:sz w:val="20"/>
          <w:szCs w:val="20"/>
        </w:rPr>
        <w:footnoteRef/>
      </w:r>
      <w:r w:rsidRPr="00A04969">
        <w:rPr>
          <w:sz w:val="20"/>
          <w:szCs w:val="20"/>
        </w:rPr>
        <w:t xml:space="preserve"> </w:t>
      </w:r>
      <w:proofErr w:type="spellStart"/>
      <w:r w:rsidRPr="00A04969">
        <w:rPr>
          <w:sz w:val="20"/>
          <w:szCs w:val="20"/>
        </w:rPr>
        <w:t>Hipwell</w:t>
      </w:r>
      <w:proofErr w:type="spellEnd"/>
      <w:r w:rsidRPr="00A04969">
        <w:rPr>
          <w:sz w:val="20"/>
          <w:szCs w:val="20"/>
        </w:rPr>
        <w:t xml:space="preserve">, W. et al, </w:t>
      </w:r>
      <w:r w:rsidRPr="00A04969">
        <w:rPr>
          <w:bCs/>
          <w:sz w:val="20"/>
          <w:szCs w:val="20"/>
          <w:lang w:val="en-US"/>
        </w:rPr>
        <w:t>Aboriginal Peoples and Mining in Canada: Consultation, Participation and Prospects for Change at 19 (2002).</w:t>
      </w:r>
    </w:p>
  </w:footnote>
  <w:footnote w:id="131">
    <w:p w14:paraId="1C913046" w14:textId="3AFD283F"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Marine Mammal Commission, Review of Co-Management Efforts in Alaska at 10 (2008) [hereinafter MMC Report].</w:t>
      </w:r>
    </w:p>
  </w:footnote>
  <w:footnote w:id="132">
    <w:p w14:paraId="08F5AB8D" w14:textId="77777777"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proofErr w:type="gramStart"/>
      <w:r w:rsidRPr="00A04969">
        <w:rPr>
          <w:rFonts w:ascii="Times New Roman" w:hAnsi="Times New Roman" w:cs="Times New Roman"/>
          <w:i/>
          <w:sz w:val="20"/>
          <w:szCs w:val="20"/>
        </w:rPr>
        <w:t>Id.</w:t>
      </w:r>
      <w:r w:rsidRPr="00A04969">
        <w:rPr>
          <w:rFonts w:ascii="Times New Roman" w:hAnsi="Times New Roman" w:cs="Times New Roman"/>
          <w:sz w:val="20"/>
          <w:szCs w:val="20"/>
        </w:rPr>
        <w:t xml:space="preserve"> at 15.</w:t>
      </w:r>
      <w:proofErr w:type="gramEnd"/>
    </w:p>
  </w:footnote>
  <w:footnote w:id="133">
    <w:p w14:paraId="433F2620" w14:textId="40C056F0"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proofErr w:type="gramStart"/>
      <w:r w:rsidRPr="00A04969">
        <w:rPr>
          <w:rFonts w:ascii="Times New Roman" w:hAnsi="Times New Roman" w:cs="Times New Roman"/>
          <w:sz w:val="20"/>
          <w:szCs w:val="20"/>
        </w:rPr>
        <w:t>Nuiqsut Cultural Plan at 44 (1979).</w:t>
      </w:r>
      <w:proofErr w:type="gramEnd"/>
    </w:p>
  </w:footnote>
  <w:footnote w:id="134">
    <w:p w14:paraId="032E1083" w14:textId="01D78CED" w:rsidR="00D43BBB" w:rsidRPr="00A04969" w:rsidRDefault="00D43BBB" w:rsidP="002420B7">
      <w:pPr>
        <w:rPr>
          <w:rFonts w:eastAsia="Times New Roman"/>
          <w:color w:val="000000"/>
          <w:sz w:val="20"/>
          <w:szCs w:val="20"/>
          <w:lang w:val="en-US"/>
        </w:rPr>
      </w:pPr>
      <w:r w:rsidRPr="00A04969">
        <w:rPr>
          <w:rStyle w:val="FootnoteReference"/>
          <w:sz w:val="20"/>
          <w:szCs w:val="20"/>
        </w:rPr>
        <w:footnoteRef/>
      </w:r>
      <w:r w:rsidRPr="00A04969">
        <w:rPr>
          <w:sz w:val="20"/>
          <w:szCs w:val="20"/>
        </w:rPr>
        <w:t xml:space="preserve"> ICC Arctic Policy, </w:t>
      </w:r>
      <w:r w:rsidRPr="00A04969">
        <w:rPr>
          <w:i/>
          <w:sz w:val="20"/>
          <w:szCs w:val="20"/>
        </w:rPr>
        <w:t>supra</w:t>
      </w:r>
      <w:r w:rsidRPr="00A04969">
        <w:rPr>
          <w:sz w:val="20"/>
          <w:szCs w:val="20"/>
        </w:rPr>
        <w:t xml:space="preserve"> n. </w:t>
      </w:r>
      <w:r w:rsidRPr="00A04969">
        <w:rPr>
          <w:sz w:val="20"/>
          <w:szCs w:val="20"/>
        </w:rPr>
        <w:fldChar w:fldCharType="begin"/>
      </w:r>
      <w:r w:rsidRPr="00A04969">
        <w:rPr>
          <w:sz w:val="20"/>
          <w:szCs w:val="20"/>
        </w:rPr>
        <w:instrText xml:space="preserve"> NOTEREF _Ref333385533 </w:instrText>
      </w:r>
      <w:r w:rsidRPr="00A04969">
        <w:rPr>
          <w:sz w:val="20"/>
          <w:szCs w:val="20"/>
        </w:rPr>
        <w:fldChar w:fldCharType="separate"/>
      </w:r>
      <w:r>
        <w:rPr>
          <w:sz w:val="20"/>
          <w:szCs w:val="20"/>
        </w:rPr>
        <w:t>92</w:t>
      </w:r>
      <w:r w:rsidRPr="00A04969">
        <w:rPr>
          <w:sz w:val="20"/>
          <w:szCs w:val="20"/>
        </w:rPr>
        <w:fldChar w:fldCharType="end"/>
      </w:r>
      <w:r w:rsidRPr="00A04969">
        <w:rPr>
          <w:sz w:val="20"/>
          <w:szCs w:val="20"/>
        </w:rPr>
        <w:t xml:space="preserve">; </w:t>
      </w:r>
      <w:proofErr w:type="spellStart"/>
      <w:r w:rsidRPr="00A04969">
        <w:rPr>
          <w:iCs/>
          <w:sz w:val="20"/>
          <w:szCs w:val="20"/>
          <w:lang w:val="en-US"/>
        </w:rPr>
        <w:t>Langhelle</w:t>
      </w:r>
      <w:proofErr w:type="spellEnd"/>
      <w:r w:rsidRPr="00A04969">
        <w:rPr>
          <w:iCs/>
          <w:sz w:val="20"/>
          <w:szCs w:val="20"/>
          <w:lang w:val="en-US"/>
        </w:rPr>
        <w:t>, O. and Hansen, K</w:t>
      </w:r>
      <w:proofErr w:type="gramStart"/>
      <w:r w:rsidRPr="00A04969">
        <w:rPr>
          <w:iCs/>
          <w:sz w:val="20"/>
          <w:szCs w:val="20"/>
          <w:lang w:val="en-US"/>
        </w:rPr>
        <w:t>,</w:t>
      </w:r>
      <w:r w:rsidRPr="00A04969">
        <w:rPr>
          <w:i/>
          <w:iCs/>
          <w:sz w:val="20"/>
          <w:szCs w:val="20"/>
          <w:lang w:val="en-US"/>
        </w:rPr>
        <w:t>.</w:t>
      </w:r>
      <w:proofErr w:type="gramEnd"/>
      <w:r w:rsidRPr="00A04969">
        <w:rPr>
          <w:i/>
          <w:iCs/>
          <w:sz w:val="20"/>
          <w:szCs w:val="20"/>
          <w:lang w:val="en-US"/>
        </w:rPr>
        <w:t xml:space="preserve"> </w:t>
      </w:r>
      <w:r w:rsidRPr="00A04969">
        <w:rPr>
          <w:bCs/>
          <w:i/>
          <w:sz w:val="20"/>
          <w:szCs w:val="20"/>
          <w:lang w:val="en-US"/>
        </w:rPr>
        <w:t>Perceptions of Arctic challenges: Alaska, Canada, Norway and Russia Compared</w:t>
      </w:r>
      <w:r w:rsidRPr="00A04969">
        <w:rPr>
          <w:bCs/>
          <w:sz w:val="20"/>
          <w:szCs w:val="20"/>
          <w:lang w:val="en-US"/>
        </w:rPr>
        <w:t xml:space="preserve">, in </w:t>
      </w:r>
      <w:r w:rsidRPr="00A04969">
        <w:rPr>
          <w:sz w:val="20"/>
          <w:szCs w:val="20"/>
          <w:lang w:val="en-US"/>
        </w:rPr>
        <w:t>Arctic Oil and Gas, Sustainability at Risk?</w:t>
      </w:r>
      <w:r w:rsidRPr="00A04969">
        <w:rPr>
          <w:bCs/>
          <w:sz w:val="20"/>
          <w:szCs w:val="20"/>
          <w:lang w:val="en-US"/>
        </w:rPr>
        <w:t xml:space="preserve"> </w:t>
      </w:r>
      <w:proofErr w:type="gramStart"/>
      <w:r w:rsidRPr="00A04969">
        <w:rPr>
          <w:iCs/>
          <w:sz w:val="20"/>
          <w:szCs w:val="20"/>
          <w:lang w:val="en-US"/>
        </w:rPr>
        <w:t>at</w:t>
      </w:r>
      <w:proofErr w:type="gramEnd"/>
      <w:r w:rsidRPr="00A04969">
        <w:rPr>
          <w:iCs/>
          <w:sz w:val="20"/>
          <w:szCs w:val="20"/>
          <w:lang w:val="en-US"/>
        </w:rPr>
        <w:t xml:space="preserve"> 340 (</w:t>
      </w:r>
      <w:proofErr w:type="spellStart"/>
      <w:r w:rsidRPr="00A04969">
        <w:rPr>
          <w:bCs/>
          <w:sz w:val="20"/>
          <w:szCs w:val="20"/>
          <w:lang w:val="en-US"/>
        </w:rPr>
        <w:t>Mikkelsen</w:t>
      </w:r>
      <w:proofErr w:type="spellEnd"/>
      <w:r w:rsidRPr="00A04969">
        <w:rPr>
          <w:bCs/>
          <w:sz w:val="20"/>
          <w:szCs w:val="20"/>
          <w:lang w:val="en-US"/>
        </w:rPr>
        <w:t xml:space="preserve">, A. and </w:t>
      </w:r>
      <w:proofErr w:type="spellStart"/>
      <w:r w:rsidRPr="00A04969">
        <w:rPr>
          <w:bCs/>
          <w:sz w:val="20"/>
          <w:szCs w:val="20"/>
          <w:lang w:val="en-US"/>
        </w:rPr>
        <w:t>Langhelle</w:t>
      </w:r>
      <w:proofErr w:type="spellEnd"/>
      <w:r w:rsidRPr="00A04969">
        <w:rPr>
          <w:bCs/>
          <w:sz w:val="20"/>
          <w:szCs w:val="20"/>
          <w:lang w:val="en-US"/>
        </w:rPr>
        <w:t xml:space="preserve">, O., </w:t>
      </w:r>
      <w:proofErr w:type="spellStart"/>
      <w:r w:rsidRPr="00A04969">
        <w:rPr>
          <w:bCs/>
          <w:sz w:val="20"/>
          <w:szCs w:val="20"/>
          <w:lang w:val="en-US"/>
        </w:rPr>
        <w:t>eds</w:t>
      </w:r>
      <w:proofErr w:type="spellEnd"/>
      <w:r w:rsidRPr="00A04969">
        <w:rPr>
          <w:bCs/>
          <w:sz w:val="20"/>
          <w:szCs w:val="20"/>
          <w:lang w:val="en-US"/>
        </w:rPr>
        <w:t>,</w:t>
      </w:r>
      <w:r w:rsidRPr="00A04969">
        <w:rPr>
          <w:iCs/>
          <w:sz w:val="20"/>
          <w:szCs w:val="20"/>
          <w:lang w:val="en-US"/>
        </w:rPr>
        <w:t xml:space="preserve"> 2008)</w:t>
      </w:r>
      <w:r w:rsidRPr="00A04969">
        <w:rPr>
          <w:i/>
          <w:iCs/>
          <w:sz w:val="20"/>
          <w:szCs w:val="20"/>
          <w:lang w:val="en-US"/>
        </w:rPr>
        <w:t xml:space="preserve">; </w:t>
      </w:r>
      <w:r w:rsidRPr="00A04969">
        <w:rPr>
          <w:iCs/>
          <w:sz w:val="20"/>
          <w:szCs w:val="20"/>
          <w:lang w:val="en-US"/>
        </w:rPr>
        <w:t xml:space="preserve">Bering Strait Alliance, </w:t>
      </w:r>
      <w:r w:rsidRPr="00A04969">
        <w:rPr>
          <w:rFonts w:eastAsia="Times New Roman"/>
          <w:color w:val="000000"/>
          <w:sz w:val="20"/>
          <w:szCs w:val="20"/>
          <w:lang w:val="en-US"/>
        </w:rPr>
        <w:t>Arctic Summit Framework Agreement among Indigenous Peoples for the Being Strait Region</w:t>
      </w:r>
      <w:r w:rsidRPr="00A04969">
        <w:rPr>
          <w:sz w:val="20"/>
          <w:szCs w:val="20"/>
          <w:lang w:val="en-US"/>
        </w:rPr>
        <w:t xml:space="preserve"> (2015). </w:t>
      </w:r>
    </w:p>
  </w:footnote>
  <w:footnote w:id="135">
    <w:p w14:paraId="059D0024" w14:textId="77777777" w:rsidR="00D43BBB" w:rsidRPr="00A04969" w:rsidRDefault="00D43BBB" w:rsidP="0000255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r w:rsidRPr="00A04969">
        <w:rPr>
          <w:rFonts w:ascii="Times New Roman" w:hAnsi="Times New Roman" w:cs="Times New Roman"/>
          <w:bCs/>
          <w:sz w:val="20"/>
          <w:szCs w:val="20"/>
        </w:rPr>
        <w:t xml:space="preserve">Inuit </w:t>
      </w:r>
      <w:proofErr w:type="spellStart"/>
      <w:r w:rsidRPr="00A04969">
        <w:rPr>
          <w:rFonts w:ascii="Times New Roman" w:hAnsi="Times New Roman" w:cs="Times New Roman"/>
          <w:bCs/>
          <w:sz w:val="20"/>
          <w:szCs w:val="20"/>
        </w:rPr>
        <w:t>Tapiriit</w:t>
      </w:r>
      <w:proofErr w:type="spellEnd"/>
      <w:r w:rsidRPr="00A04969">
        <w:rPr>
          <w:rFonts w:ascii="Times New Roman" w:hAnsi="Times New Roman" w:cs="Times New Roman"/>
          <w:bCs/>
          <w:sz w:val="20"/>
          <w:szCs w:val="20"/>
        </w:rPr>
        <w:t xml:space="preserve"> </w:t>
      </w:r>
      <w:proofErr w:type="spellStart"/>
      <w:r w:rsidRPr="00A04969">
        <w:rPr>
          <w:rFonts w:ascii="Times New Roman" w:hAnsi="Times New Roman" w:cs="Times New Roman"/>
          <w:bCs/>
          <w:sz w:val="20"/>
          <w:szCs w:val="20"/>
        </w:rPr>
        <w:t>Kanatami</w:t>
      </w:r>
      <w:proofErr w:type="spellEnd"/>
      <w:r w:rsidRPr="00A04969">
        <w:rPr>
          <w:rFonts w:ascii="Times New Roman" w:hAnsi="Times New Roman" w:cs="Times New Roman"/>
          <w:bCs/>
          <w:sz w:val="20"/>
          <w:szCs w:val="20"/>
        </w:rPr>
        <w:t xml:space="preserve"> and Nunavut Research Institute, </w:t>
      </w:r>
      <w:r w:rsidRPr="00A04969">
        <w:rPr>
          <w:rFonts w:ascii="Times New Roman" w:hAnsi="Times New Roman" w:cs="Times New Roman"/>
          <w:sz w:val="20"/>
          <w:szCs w:val="20"/>
        </w:rPr>
        <w:t>Negotiating Research Relationships with Inuit Communities: A Guide for Researchers (2007) [hereinafter ITK Guide for Researchers].</w:t>
      </w:r>
    </w:p>
  </w:footnote>
  <w:footnote w:id="136">
    <w:p w14:paraId="651AD9CA" w14:textId="77777777" w:rsidR="00D43BBB" w:rsidRPr="00A04969" w:rsidRDefault="00D43BBB" w:rsidP="002420B7">
      <w:pPr>
        <w:widowControl w:val="0"/>
        <w:autoSpaceDE w:val="0"/>
        <w:autoSpaceDN w:val="0"/>
        <w:adjustRightInd w:val="0"/>
        <w:rPr>
          <w:sz w:val="20"/>
          <w:szCs w:val="20"/>
        </w:rPr>
      </w:pPr>
      <w:r w:rsidRPr="00A04969">
        <w:rPr>
          <w:rStyle w:val="FootnoteReference"/>
          <w:sz w:val="20"/>
          <w:szCs w:val="20"/>
        </w:rPr>
        <w:footnoteRef/>
      </w:r>
      <w:r w:rsidRPr="00A04969">
        <w:rPr>
          <w:sz w:val="20"/>
          <w:szCs w:val="20"/>
        </w:rPr>
        <w:t xml:space="preserve"> </w:t>
      </w:r>
      <w:r w:rsidRPr="00A04969">
        <w:rPr>
          <w:i/>
          <w:sz w:val="20"/>
          <w:szCs w:val="20"/>
        </w:rPr>
        <w:t>See, e.g.,</w:t>
      </w:r>
      <w:r w:rsidRPr="00A04969">
        <w:rPr>
          <w:sz w:val="20"/>
          <w:szCs w:val="20"/>
        </w:rPr>
        <w:t xml:space="preserve"> U.S. Army Corps of Engineers, Tribal Consultation Policy (Nov. 1, 2012); U.S. EPA Region 10, North Slope Communications Protocol (2009).</w:t>
      </w:r>
    </w:p>
  </w:footnote>
  <w:footnote w:id="137">
    <w:p w14:paraId="5221FD10" w14:textId="011B19D5"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proofErr w:type="gramStart"/>
      <w:r w:rsidRPr="00A04969">
        <w:rPr>
          <w:rFonts w:ascii="Times New Roman" w:hAnsi="Times New Roman" w:cs="Times New Roman"/>
          <w:i/>
          <w:sz w:val="20"/>
          <w:szCs w:val="20"/>
        </w:rPr>
        <w:t>See, e.g.,</w:t>
      </w:r>
      <w:r w:rsidRPr="00A04969">
        <w:rPr>
          <w:rFonts w:ascii="Times New Roman" w:hAnsi="Times New Roman" w:cs="Times New Roman"/>
          <w:sz w:val="20"/>
          <w:szCs w:val="20"/>
        </w:rPr>
        <w:t xml:space="preserve"> IFC Good Practice Handbook, </w:t>
      </w:r>
      <w:r w:rsidRPr="00A04969">
        <w:rPr>
          <w:rFonts w:ascii="Times New Roman" w:hAnsi="Times New Roman" w:cs="Times New Roman"/>
          <w:i/>
          <w:sz w:val="20"/>
          <w:szCs w:val="20"/>
        </w:rPr>
        <w:t>supra</w:t>
      </w:r>
      <w:r w:rsidRPr="00A04969">
        <w:rPr>
          <w:rFonts w:ascii="Times New Roman" w:hAnsi="Times New Roman" w:cs="Times New Roman"/>
          <w:sz w:val="20"/>
          <w:szCs w:val="20"/>
        </w:rPr>
        <w:t xml:space="preserve"> n. </w:t>
      </w:r>
      <w:r w:rsidRPr="00A04969">
        <w:rPr>
          <w:rFonts w:ascii="Times New Roman" w:hAnsi="Times New Roman" w:cs="Times New Roman"/>
          <w:sz w:val="20"/>
          <w:szCs w:val="20"/>
        </w:rPr>
        <w:fldChar w:fldCharType="begin"/>
      </w:r>
      <w:r w:rsidRPr="00A04969">
        <w:rPr>
          <w:rFonts w:ascii="Times New Roman" w:hAnsi="Times New Roman" w:cs="Times New Roman"/>
          <w:sz w:val="20"/>
          <w:szCs w:val="20"/>
        </w:rPr>
        <w:instrText xml:space="preserve"> NOTEREF _Ref334083573 \h </w:instrText>
      </w:r>
      <w:r w:rsidRPr="00A04969">
        <w:rPr>
          <w:rFonts w:ascii="Times New Roman" w:hAnsi="Times New Roman" w:cs="Times New Roman"/>
          <w:sz w:val="20"/>
          <w:szCs w:val="20"/>
        </w:rPr>
      </w:r>
      <w:r w:rsidRPr="00A04969">
        <w:rPr>
          <w:rFonts w:ascii="Times New Roman" w:hAnsi="Times New Roman" w:cs="Times New Roman"/>
          <w:sz w:val="20"/>
          <w:szCs w:val="20"/>
        </w:rPr>
        <w:fldChar w:fldCharType="separate"/>
      </w:r>
      <w:r>
        <w:rPr>
          <w:rFonts w:ascii="Times New Roman" w:hAnsi="Times New Roman" w:cs="Times New Roman"/>
          <w:sz w:val="20"/>
          <w:szCs w:val="20"/>
        </w:rPr>
        <w:t>53</w:t>
      </w:r>
      <w:r w:rsidRPr="00A04969">
        <w:rPr>
          <w:rFonts w:ascii="Times New Roman" w:hAnsi="Times New Roman" w:cs="Times New Roman"/>
          <w:sz w:val="20"/>
          <w:szCs w:val="20"/>
        </w:rPr>
        <w:fldChar w:fldCharType="end"/>
      </w:r>
      <w:r w:rsidRPr="00A04969">
        <w:rPr>
          <w:rFonts w:ascii="Times New Roman" w:hAnsi="Times New Roman" w:cs="Times New Roman"/>
          <w:sz w:val="20"/>
          <w:szCs w:val="20"/>
        </w:rPr>
        <w:t>, Appendix 3.</w:t>
      </w:r>
      <w:proofErr w:type="gramEnd"/>
    </w:p>
  </w:footnote>
  <w:footnote w:id="138">
    <w:p w14:paraId="7CF6311D" w14:textId="77777777"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r w:rsidRPr="00A04969">
        <w:rPr>
          <w:rFonts w:ascii="Times New Roman" w:hAnsi="Times New Roman" w:cs="Times New Roman"/>
          <w:i/>
          <w:sz w:val="20"/>
          <w:szCs w:val="20"/>
        </w:rPr>
        <w:t>See, e.g.,</w:t>
      </w:r>
      <w:r w:rsidRPr="00A04969">
        <w:rPr>
          <w:rFonts w:ascii="Times New Roman" w:hAnsi="Times New Roman" w:cs="Times New Roman"/>
          <w:sz w:val="20"/>
          <w:szCs w:val="20"/>
        </w:rPr>
        <w:t xml:space="preserve"> Canadian Association of Petroleum Producers, Developing Effective Working Relationships with Aboriginal Communities at 6-8 (2006).</w:t>
      </w:r>
    </w:p>
  </w:footnote>
  <w:footnote w:id="139">
    <w:p w14:paraId="0BC731BB" w14:textId="0D45D466"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proofErr w:type="gramStart"/>
      <w:r w:rsidRPr="00A04969">
        <w:rPr>
          <w:rFonts w:ascii="Times New Roman" w:hAnsi="Times New Roman" w:cs="Times New Roman"/>
          <w:sz w:val="20"/>
          <w:szCs w:val="20"/>
        </w:rPr>
        <w:t xml:space="preserve">IFC Good Practice Handbook, </w:t>
      </w:r>
      <w:r w:rsidRPr="00A04969">
        <w:rPr>
          <w:rFonts w:ascii="Times New Roman" w:hAnsi="Times New Roman" w:cs="Times New Roman"/>
          <w:i/>
          <w:sz w:val="20"/>
          <w:szCs w:val="20"/>
        </w:rPr>
        <w:t>supra</w:t>
      </w:r>
      <w:r w:rsidRPr="00A04969">
        <w:rPr>
          <w:rFonts w:ascii="Times New Roman" w:hAnsi="Times New Roman" w:cs="Times New Roman"/>
          <w:sz w:val="20"/>
          <w:szCs w:val="20"/>
        </w:rPr>
        <w:t xml:space="preserve"> n. </w:t>
      </w:r>
      <w:r w:rsidRPr="00A04969">
        <w:rPr>
          <w:rFonts w:ascii="Times New Roman" w:hAnsi="Times New Roman" w:cs="Times New Roman"/>
          <w:sz w:val="20"/>
          <w:szCs w:val="20"/>
        </w:rPr>
        <w:fldChar w:fldCharType="begin"/>
      </w:r>
      <w:r w:rsidRPr="00A04969">
        <w:rPr>
          <w:rFonts w:ascii="Times New Roman" w:hAnsi="Times New Roman" w:cs="Times New Roman"/>
          <w:sz w:val="20"/>
          <w:szCs w:val="20"/>
        </w:rPr>
        <w:instrText xml:space="preserve"> NOTEREF _Ref334083573 \h </w:instrText>
      </w:r>
      <w:r w:rsidRPr="00A04969">
        <w:rPr>
          <w:rFonts w:ascii="Times New Roman" w:hAnsi="Times New Roman" w:cs="Times New Roman"/>
          <w:sz w:val="20"/>
          <w:szCs w:val="20"/>
        </w:rPr>
      </w:r>
      <w:r w:rsidRPr="00A04969">
        <w:rPr>
          <w:rFonts w:ascii="Times New Roman" w:hAnsi="Times New Roman" w:cs="Times New Roman"/>
          <w:sz w:val="20"/>
          <w:szCs w:val="20"/>
        </w:rPr>
        <w:fldChar w:fldCharType="separate"/>
      </w:r>
      <w:r>
        <w:rPr>
          <w:rFonts w:ascii="Times New Roman" w:hAnsi="Times New Roman" w:cs="Times New Roman"/>
          <w:sz w:val="20"/>
          <w:szCs w:val="20"/>
        </w:rPr>
        <w:t>53</w:t>
      </w:r>
      <w:r w:rsidRPr="00A04969">
        <w:rPr>
          <w:rFonts w:ascii="Times New Roman" w:hAnsi="Times New Roman" w:cs="Times New Roman"/>
          <w:sz w:val="20"/>
          <w:szCs w:val="20"/>
        </w:rPr>
        <w:fldChar w:fldCharType="end"/>
      </w:r>
      <w:r w:rsidRPr="00A04969">
        <w:rPr>
          <w:rFonts w:ascii="Times New Roman" w:hAnsi="Times New Roman" w:cs="Times New Roman"/>
          <w:sz w:val="20"/>
          <w:szCs w:val="20"/>
        </w:rPr>
        <w:t xml:space="preserve"> at 8.</w:t>
      </w:r>
      <w:proofErr w:type="gramEnd"/>
    </w:p>
  </w:footnote>
  <w:footnote w:id="140">
    <w:p w14:paraId="76A1E780" w14:textId="61363245" w:rsidR="00D43BBB" w:rsidRPr="00A04969" w:rsidRDefault="00D43BBB" w:rsidP="002420B7">
      <w:pPr>
        <w:widowControl w:val="0"/>
        <w:autoSpaceDE w:val="0"/>
        <w:autoSpaceDN w:val="0"/>
        <w:adjustRightInd w:val="0"/>
        <w:rPr>
          <w:sz w:val="20"/>
          <w:szCs w:val="20"/>
        </w:rPr>
      </w:pPr>
      <w:r w:rsidRPr="00A04969">
        <w:rPr>
          <w:rStyle w:val="FootnoteReference"/>
          <w:sz w:val="20"/>
          <w:szCs w:val="20"/>
        </w:rPr>
        <w:footnoteRef/>
      </w:r>
      <w:r w:rsidRPr="00A04969">
        <w:rPr>
          <w:sz w:val="20"/>
          <w:szCs w:val="20"/>
        </w:rPr>
        <w:t xml:space="preserve"> </w:t>
      </w:r>
      <w:r w:rsidRPr="00A04969">
        <w:rPr>
          <w:rFonts w:eastAsia="Times New Roman"/>
          <w:color w:val="000000"/>
          <w:sz w:val="20"/>
          <w:szCs w:val="20"/>
          <w:shd w:val="clear" w:color="auto" w:fill="FFFFFF"/>
        </w:rPr>
        <w:t>Aboriginal Engagement Task Group of the Intergovernmental Working Group on the Mineral Industry, Aboriginal Engagement in the Mining and Energy Sectors: Case Studies and Lessons Learned. 2008 Report to Energy and Mines Ministers at 7;</w:t>
      </w:r>
      <w:r w:rsidRPr="00A04969">
        <w:rPr>
          <w:sz w:val="20"/>
          <w:szCs w:val="20"/>
        </w:rPr>
        <w:t xml:space="preserve"> </w:t>
      </w:r>
      <w:r w:rsidRPr="00A04969">
        <w:rPr>
          <w:color w:val="1A1A1A"/>
          <w:sz w:val="20"/>
          <w:szCs w:val="20"/>
        </w:rPr>
        <w:t xml:space="preserve">Akwé Kon: Voluntary Guidelines, </w:t>
      </w:r>
      <w:r w:rsidRPr="00A04969">
        <w:rPr>
          <w:i/>
          <w:sz w:val="20"/>
          <w:szCs w:val="20"/>
        </w:rPr>
        <w:t>supra</w:t>
      </w:r>
      <w:r w:rsidRPr="00A04969">
        <w:rPr>
          <w:sz w:val="20"/>
          <w:szCs w:val="20"/>
        </w:rPr>
        <w:t xml:space="preserve"> n. </w:t>
      </w:r>
      <w:r w:rsidRPr="00A04969">
        <w:rPr>
          <w:sz w:val="20"/>
          <w:szCs w:val="20"/>
        </w:rPr>
        <w:fldChar w:fldCharType="begin"/>
      </w:r>
      <w:r w:rsidRPr="00A04969">
        <w:rPr>
          <w:sz w:val="20"/>
          <w:szCs w:val="20"/>
        </w:rPr>
        <w:instrText xml:space="preserve"> NOTEREF _Ref333348796 \h </w:instrText>
      </w:r>
      <w:r w:rsidRPr="00A04969">
        <w:rPr>
          <w:sz w:val="20"/>
          <w:szCs w:val="20"/>
        </w:rPr>
      </w:r>
      <w:r w:rsidRPr="00A04969">
        <w:rPr>
          <w:sz w:val="20"/>
          <w:szCs w:val="20"/>
        </w:rPr>
        <w:fldChar w:fldCharType="separate"/>
      </w:r>
      <w:r>
        <w:rPr>
          <w:sz w:val="20"/>
          <w:szCs w:val="20"/>
        </w:rPr>
        <w:t>13</w:t>
      </w:r>
      <w:r w:rsidRPr="00A04969">
        <w:rPr>
          <w:sz w:val="20"/>
          <w:szCs w:val="20"/>
        </w:rPr>
        <w:fldChar w:fldCharType="end"/>
      </w:r>
      <w:r w:rsidRPr="00A04969">
        <w:rPr>
          <w:color w:val="1A1A1A"/>
          <w:sz w:val="20"/>
          <w:szCs w:val="20"/>
        </w:rPr>
        <w:t xml:space="preserve"> at 12; </w:t>
      </w:r>
      <w:r w:rsidRPr="00A04969">
        <w:rPr>
          <w:sz w:val="20"/>
          <w:szCs w:val="20"/>
        </w:rPr>
        <w:t xml:space="preserve">NOAA Procedures for Government-to-Government Consultation </w:t>
      </w:r>
      <w:proofErr w:type="gramStart"/>
      <w:r w:rsidRPr="00A04969">
        <w:rPr>
          <w:sz w:val="20"/>
          <w:szCs w:val="20"/>
        </w:rPr>
        <w:t>With</w:t>
      </w:r>
      <w:proofErr w:type="gramEnd"/>
      <w:r w:rsidRPr="00A04969">
        <w:rPr>
          <w:sz w:val="20"/>
          <w:szCs w:val="20"/>
        </w:rPr>
        <w:t xml:space="preserve"> Federally Recognized Indian Tribes and Alaska Native Corporations at 7 (Nov. 12, 2013) [hereinafter NOAA 13175 Policy].</w:t>
      </w:r>
    </w:p>
  </w:footnote>
  <w:footnote w:id="141">
    <w:p w14:paraId="6BF38569" w14:textId="45461BE4"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ITK Guide for Researchers, </w:t>
      </w:r>
      <w:r w:rsidRPr="00A04969">
        <w:rPr>
          <w:rFonts w:ascii="Times New Roman" w:hAnsi="Times New Roman" w:cs="Times New Roman"/>
          <w:i/>
          <w:sz w:val="20"/>
          <w:szCs w:val="20"/>
        </w:rPr>
        <w:t>supra</w:t>
      </w:r>
      <w:r w:rsidRPr="00A04969">
        <w:rPr>
          <w:rFonts w:ascii="Times New Roman" w:hAnsi="Times New Roman" w:cs="Times New Roman"/>
          <w:sz w:val="20"/>
          <w:szCs w:val="20"/>
        </w:rPr>
        <w:t xml:space="preserve"> n. </w:t>
      </w:r>
      <w:r w:rsidRPr="00A04969">
        <w:rPr>
          <w:rFonts w:ascii="Times New Roman" w:hAnsi="Times New Roman" w:cs="Times New Roman"/>
          <w:sz w:val="20"/>
          <w:szCs w:val="20"/>
        </w:rPr>
        <w:fldChar w:fldCharType="begin"/>
      </w:r>
      <w:r w:rsidRPr="00A04969">
        <w:rPr>
          <w:rFonts w:ascii="Times New Roman" w:hAnsi="Times New Roman" w:cs="Times New Roman"/>
          <w:sz w:val="20"/>
          <w:szCs w:val="20"/>
        </w:rPr>
        <w:instrText xml:space="preserve"> NOTEREF _Ref333381119 </w:instrText>
      </w:r>
      <w:r w:rsidRPr="00A04969">
        <w:rPr>
          <w:rFonts w:ascii="Times New Roman" w:hAnsi="Times New Roman" w:cs="Times New Roman"/>
          <w:sz w:val="20"/>
          <w:szCs w:val="20"/>
        </w:rPr>
        <w:fldChar w:fldCharType="separate"/>
      </w:r>
      <w:r>
        <w:rPr>
          <w:rFonts w:ascii="Times New Roman" w:hAnsi="Times New Roman" w:cs="Times New Roman"/>
          <w:sz w:val="20"/>
          <w:szCs w:val="20"/>
        </w:rPr>
        <w:t>134</w:t>
      </w:r>
      <w:r w:rsidRPr="00A04969">
        <w:rPr>
          <w:rFonts w:ascii="Times New Roman" w:hAnsi="Times New Roman" w:cs="Times New Roman"/>
          <w:sz w:val="20"/>
          <w:szCs w:val="20"/>
        </w:rPr>
        <w:fldChar w:fldCharType="end"/>
      </w:r>
      <w:r w:rsidRPr="00A04969">
        <w:rPr>
          <w:rFonts w:ascii="Times New Roman" w:hAnsi="Times New Roman" w:cs="Times New Roman"/>
          <w:sz w:val="20"/>
          <w:szCs w:val="20"/>
        </w:rPr>
        <w:t>.</w:t>
      </w:r>
    </w:p>
  </w:footnote>
  <w:footnote w:id="142">
    <w:p w14:paraId="11AB92F7" w14:textId="7E91919C" w:rsidR="00D43BBB" w:rsidRPr="00A04969" w:rsidRDefault="00D43BBB" w:rsidP="002420B7">
      <w:pPr>
        <w:widowControl w:val="0"/>
        <w:autoSpaceDE w:val="0"/>
        <w:autoSpaceDN w:val="0"/>
        <w:adjustRightInd w:val="0"/>
        <w:rPr>
          <w:sz w:val="20"/>
          <w:szCs w:val="20"/>
          <w:lang w:val="en-US"/>
        </w:rPr>
      </w:pPr>
      <w:r w:rsidRPr="00A04969">
        <w:rPr>
          <w:rStyle w:val="FootnoteReference"/>
          <w:sz w:val="20"/>
          <w:szCs w:val="20"/>
        </w:rPr>
        <w:footnoteRef/>
      </w:r>
      <w:r w:rsidRPr="00A04969">
        <w:rPr>
          <w:sz w:val="20"/>
          <w:szCs w:val="20"/>
        </w:rPr>
        <w:t xml:space="preserve"> </w:t>
      </w:r>
      <w:r w:rsidRPr="00A04969">
        <w:rPr>
          <w:bCs/>
          <w:sz w:val="20"/>
          <w:szCs w:val="20"/>
          <w:lang w:val="en-US"/>
        </w:rPr>
        <w:t>Annex One To Settlement Agreement</w:t>
      </w:r>
      <w:r w:rsidRPr="00A04969">
        <w:rPr>
          <w:sz w:val="20"/>
          <w:szCs w:val="20"/>
          <w:lang w:val="en-US"/>
        </w:rPr>
        <w:t xml:space="preserve">, </w:t>
      </w:r>
      <w:r w:rsidRPr="00A04969">
        <w:rPr>
          <w:bCs/>
          <w:sz w:val="20"/>
          <w:szCs w:val="20"/>
          <w:lang w:val="en-US"/>
        </w:rPr>
        <w:t>The Mackenzie Gas Project And Connecting Facilities Consultation Protocol</w:t>
      </w:r>
      <w:r w:rsidRPr="00A04969">
        <w:rPr>
          <w:sz w:val="20"/>
          <w:szCs w:val="20"/>
          <w:lang w:val="en-US"/>
        </w:rPr>
        <w:t xml:space="preserve"> </w:t>
      </w:r>
      <w:r w:rsidRPr="00A04969">
        <w:rPr>
          <w:bCs/>
          <w:sz w:val="20"/>
          <w:szCs w:val="20"/>
          <w:lang w:val="en-US"/>
        </w:rPr>
        <w:t>Between Her Majesty The Queen In Right Of Canada, As Represented By The Minister Of Indian Affairs And Northern Development</w:t>
      </w:r>
      <w:r w:rsidRPr="00A04969">
        <w:rPr>
          <w:sz w:val="20"/>
          <w:szCs w:val="20"/>
          <w:lang w:val="en-US"/>
        </w:rPr>
        <w:t xml:space="preserve"> </w:t>
      </w:r>
      <w:r w:rsidRPr="00A04969">
        <w:rPr>
          <w:bCs/>
          <w:sz w:val="20"/>
          <w:szCs w:val="20"/>
          <w:lang w:val="en-US"/>
        </w:rPr>
        <w:t xml:space="preserve">And: The Dene </w:t>
      </w:r>
      <w:proofErr w:type="spellStart"/>
      <w:r w:rsidRPr="00A04969">
        <w:rPr>
          <w:bCs/>
          <w:sz w:val="20"/>
          <w:szCs w:val="20"/>
          <w:lang w:val="en-US"/>
        </w:rPr>
        <w:t>Tha</w:t>
      </w:r>
      <w:proofErr w:type="spellEnd"/>
      <w:r w:rsidRPr="00A04969">
        <w:rPr>
          <w:bCs/>
          <w:sz w:val="20"/>
          <w:szCs w:val="20"/>
          <w:lang w:val="en-US"/>
        </w:rPr>
        <w:t>’ First Nation, As Represented By Its Chief And Council.</w:t>
      </w:r>
    </w:p>
  </w:footnote>
  <w:footnote w:id="143">
    <w:p w14:paraId="61323A5B" w14:textId="4A5E3624"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r w:rsidRPr="00A04969">
        <w:rPr>
          <w:rFonts w:ascii="Times New Roman" w:eastAsia="Times New Roman" w:hAnsi="Times New Roman" w:cs="Times New Roman"/>
          <w:color w:val="000000"/>
          <w:sz w:val="20"/>
          <w:szCs w:val="20"/>
        </w:rPr>
        <w:t xml:space="preserve">Procedures for Consultations between State Authorities and </w:t>
      </w:r>
      <w:proofErr w:type="gramStart"/>
      <w:r w:rsidRPr="00A04969">
        <w:rPr>
          <w:rFonts w:ascii="Times New Roman" w:eastAsia="Times New Roman" w:hAnsi="Times New Roman" w:cs="Times New Roman"/>
          <w:color w:val="000000"/>
          <w:sz w:val="20"/>
          <w:szCs w:val="20"/>
        </w:rPr>
        <w:t>The</w:t>
      </w:r>
      <w:proofErr w:type="gramEnd"/>
      <w:r w:rsidRPr="00A04969">
        <w:rPr>
          <w:rFonts w:ascii="Times New Roman" w:eastAsia="Times New Roman" w:hAnsi="Times New Roman" w:cs="Times New Roman"/>
          <w:color w:val="000000"/>
          <w:sz w:val="20"/>
          <w:szCs w:val="20"/>
        </w:rPr>
        <w:t xml:space="preserve"> Saami Parliament (2005).</w:t>
      </w:r>
    </w:p>
  </w:footnote>
  <w:footnote w:id="144">
    <w:p w14:paraId="62929AC9" w14:textId="783FE59D" w:rsidR="00D43BBB" w:rsidRPr="00A04969" w:rsidRDefault="00D43BBB" w:rsidP="002420B7">
      <w:pPr>
        <w:rPr>
          <w:rFonts w:eastAsia="Times New Roman"/>
          <w:color w:val="000000"/>
          <w:sz w:val="20"/>
          <w:szCs w:val="20"/>
          <w:lang w:val="en-US"/>
        </w:rPr>
      </w:pPr>
      <w:r w:rsidRPr="00A04969">
        <w:rPr>
          <w:rStyle w:val="FootnoteReference"/>
          <w:sz w:val="20"/>
          <w:szCs w:val="20"/>
        </w:rPr>
        <w:footnoteRef/>
      </w:r>
      <w:r w:rsidRPr="00A04969">
        <w:rPr>
          <w:sz w:val="20"/>
          <w:szCs w:val="20"/>
        </w:rPr>
        <w:t xml:space="preserve"> </w:t>
      </w:r>
      <w:proofErr w:type="gramStart"/>
      <w:r w:rsidRPr="00A04969">
        <w:rPr>
          <w:rFonts w:eastAsia="Times New Roman"/>
          <w:color w:val="000000"/>
          <w:sz w:val="20"/>
          <w:szCs w:val="20"/>
          <w:lang w:val="en-US"/>
        </w:rPr>
        <w:t>Collaborative Research Agreement between Shell and the North Slope Borough (2010).</w:t>
      </w:r>
      <w:proofErr w:type="gramEnd"/>
    </w:p>
  </w:footnote>
  <w:footnote w:id="145">
    <w:p w14:paraId="0BE05CBC" w14:textId="693C54BA"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r w:rsidRPr="00A04969">
        <w:rPr>
          <w:rFonts w:ascii="Times New Roman" w:hAnsi="Times New Roman" w:cs="Times New Roman"/>
          <w:i/>
          <w:sz w:val="20"/>
          <w:szCs w:val="20"/>
        </w:rPr>
        <w:t>See, e.g</w:t>
      </w:r>
      <w:r w:rsidRPr="00A04969">
        <w:rPr>
          <w:rFonts w:ascii="Times New Roman" w:hAnsi="Times New Roman" w:cs="Times New Roman"/>
          <w:sz w:val="20"/>
          <w:szCs w:val="20"/>
        </w:rPr>
        <w:t>., Arctic Council Permanent Participants, Ottawa Traditional Knowledge Principles (2015) [hereinafter Ottawa Principles].</w:t>
      </w:r>
    </w:p>
  </w:footnote>
  <w:footnote w:id="146">
    <w:p w14:paraId="13CDACDD" w14:textId="6543CF84"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proofErr w:type="gramStart"/>
      <w:r w:rsidRPr="00A04969">
        <w:rPr>
          <w:rFonts w:ascii="Times New Roman" w:hAnsi="Times New Roman" w:cs="Times New Roman"/>
          <w:sz w:val="20"/>
          <w:szCs w:val="20"/>
        </w:rPr>
        <w:t xml:space="preserve">PAME Offshore Oil and Gas, supra, n. </w:t>
      </w:r>
      <w:r w:rsidRPr="00A04969">
        <w:rPr>
          <w:rFonts w:ascii="Times New Roman" w:hAnsi="Times New Roman" w:cs="Times New Roman"/>
          <w:sz w:val="20"/>
          <w:szCs w:val="20"/>
        </w:rPr>
        <w:fldChar w:fldCharType="begin"/>
      </w:r>
      <w:r w:rsidRPr="00A04969">
        <w:rPr>
          <w:rFonts w:ascii="Times New Roman" w:hAnsi="Times New Roman" w:cs="Times New Roman"/>
          <w:sz w:val="20"/>
          <w:szCs w:val="20"/>
        </w:rPr>
        <w:instrText xml:space="preserve"> NOTEREF _Ref333994849 \h </w:instrText>
      </w:r>
      <w:r w:rsidRPr="00A04969">
        <w:rPr>
          <w:rFonts w:ascii="Times New Roman" w:hAnsi="Times New Roman" w:cs="Times New Roman"/>
          <w:sz w:val="20"/>
          <w:szCs w:val="20"/>
        </w:rPr>
      </w:r>
      <w:r w:rsidRPr="00A04969">
        <w:rPr>
          <w:rFonts w:ascii="Times New Roman" w:hAnsi="Times New Roman" w:cs="Times New Roman"/>
          <w:sz w:val="20"/>
          <w:szCs w:val="20"/>
        </w:rPr>
        <w:fldChar w:fldCharType="separate"/>
      </w:r>
      <w:r>
        <w:rPr>
          <w:rFonts w:ascii="Times New Roman" w:hAnsi="Times New Roman" w:cs="Times New Roman"/>
          <w:sz w:val="20"/>
          <w:szCs w:val="20"/>
        </w:rPr>
        <w:t>78</w:t>
      </w:r>
      <w:r w:rsidRPr="00A04969">
        <w:rPr>
          <w:rFonts w:ascii="Times New Roman" w:hAnsi="Times New Roman" w:cs="Times New Roman"/>
          <w:sz w:val="20"/>
          <w:szCs w:val="20"/>
        </w:rPr>
        <w:fldChar w:fldCharType="end"/>
      </w:r>
      <w:r w:rsidRPr="00A04969">
        <w:rPr>
          <w:rFonts w:ascii="Times New Roman" w:hAnsi="Times New Roman" w:cs="Times New Roman"/>
          <w:sz w:val="20"/>
          <w:szCs w:val="20"/>
        </w:rPr>
        <w:t xml:space="preserve"> at 19.</w:t>
      </w:r>
      <w:proofErr w:type="gramEnd"/>
    </w:p>
  </w:footnote>
  <w:footnote w:id="147">
    <w:p w14:paraId="4FF99FCA" w14:textId="77777777" w:rsidR="00D43BBB" w:rsidRPr="00A04969" w:rsidRDefault="00D43BBB" w:rsidP="00C375B2">
      <w:pPr>
        <w:widowControl w:val="0"/>
        <w:autoSpaceDE w:val="0"/>
        <w:autoSpaceDN w:val="0"/>
        <w:adjustRightInd w:val="0"/>
        <w:rPr>
          <w:sz w:val="20"/>
          <w:szCs w:val="20"/>
        </w:rPr>
      </w:pPr>
      <w:r w:rsidRPr="00A04969">
        <w:rPr>
          <w:rStyle w:val="FootnoteReference"/>
          <w:sz w:val="20"/>
          <w:szCs w:val="20"/>
        </w:rPr>
        <w:footnoteRef/>
      </w:r>
      <w:r w:rsidRPr="00A04969">
        <w:rPr>
          <w:sz w:val="20"/>
          <w:szCs w:val="20"/>
        </w:rPr>
        <w:t xml:space="preserve"> Best Practices in Historic Preservation, </w:t>
      </w:r>
      <w:r w:rsidRPr="00A04969">
        <w:rPr>
          <w:i/>
          <w:sz w:val="20"/>
          <w:szCs w:val="20"/>
        </w:rPr>
        <w:t>supra</w:t>
      </w:r>
      <w:r w:rsidRPr="00A04969">
        <w:rPr>
          <w:sz w:val="20"/>
          <w:szCs w:val="20"/>
        </w:rPr>
        <w:t xml:space="preserve"> n. </w:t>
      </w:r>
      <w:r w:rsidRPr="00A04969">
        <w:rPr>
          <w:sz w:val="20"/>
          <w:szCs w:val="20"/>
        </w:rPr>
        <w:fldChar w:fldCharType="begin"/>
      </w:r>
      <w:r w:rsidRPr="00A04969">
        <w:rPr>
          <w:sz w:val="20"/>
          <w:szCs w:val="20"/>
        </w:rPr>
        <w:instrText xml:space="preserve"> NOTEREF _Ref334082751 \h </w:instrText>
      </w:r>
      <w:r w:rsidRPr="00A04969">
        <w:rPr>
          <w:sz w:val="20"/>
          <w:szCs w:val="20"/>
        </w:rPr>
      </w:r>
      <w:r w:rsidRPr="00A04969">
        <w:rPr>
          <w:sz w:val="20"/>
          <w:szCs w:val="20"/>
        </w:rPr>
        <w:fldChar w:fldCharType="separate"/>
      </w:r>
      <w:r>
        <w:rPr>
          <w:sz w:val="20"/>
          <w:szCs w:val="20"/>
        </w:rPr>
        <w:t>65</w:t>
      </w:r>
      <w:r w:rsidRPr="00A04969">
        <w:rPr>
          <w:sz w:val="20"/>
          <w:szCs w:val="20"/>
        </w:rPr>
        <w:fldChar w:fldCharType="end"/>
      </w:r>
      <w:r w:rsidRPr="00A04969">
        <w:rPr>
          <w:sz w:val="20"/>
          <w:szCs w:val="20"/>
        </w:rPr>
        <w:t xml:space="preserve"> at 39; Newman, </w:t>
      </w:r>
      <w:r w:rsidRPr="00A04969">
        <w:rPr>
          <w:i/>
          <w:sz w:val="20"/>
          <w:szCs w:val="20"/>
        </w:rPr>
        <w:t>supra</w:t>
      </w:r>
      <w:r w:rsidRPr="00A04969">
        <w:rPr>
          <w:sz w:val="20"/>
          <w:szCs w:val="20"/>
        </w:rPr>
        <w:t xml:space="preserve"> n. </w:t>
      </w:r>
      <w:r w:rsidRPr="00A04969">
        <w:rPr>
          <w:sz w:val="20"/>
          <w:szCs w:val="20"/>
        </w:rPr>
        <w:fldChar w:fldCharType="begin"/>
      </w:r>
      <w:r w:rsidRPr="00A04969">
        <w:rPr>
          <w:sz w:val="20"/>
          <w:szCs w:val="20"/>
        </w:rPr>
        <w:instrText xml:space="preserve"> NOTEREF _Ref334083840 \h </w:instrText>
      </w:r>
      <w:r w:rsidRPr="00A04969">
        <w:rPr>
          <w:sz w:val="20"/>
          <w:szCs w:val="20"/>
        </w:rPr>
      </w:r>
      <w:r w:rsidRPr="00A04969">
        <w:rPr>
          <w:sz w:val="20"/>
          <w:szCs w:val="20"/>
        </w:rPr>
        <w:fldChar w:fldCharType="separate"/>
      </w:r>
      <w:r>
        <w:rPr>
          <w:sz w:val="20"/>
          <w:szCs w:val="20"/>
        </w:rPr>
        <w:t>16</w:t>
      </w:r>
      <w:r w:rsidRPr="00A04969">
        <w:rPr>
          <w:sz w:val="20"/>
          <w:szCs w:val="20"/>
        </w:rPr>
        <w:fldChar w:fldCharType="end"/>
      </w:r>
      <w:r w:rsidRPr="00A04969">
        <w:rPr>
          <w:sz w:val="20"/>
          <w:szCs w:val="20"/>
        </w:rPr>
        <w:t xml:space="preserve"> at 483.</w:t>
      </w:r>
    </w:p>
  </w:footnote>
  <w:footnote w:id="148">
    <w:p w14:paraId="1931EE4C" w14:textId="23763127" w:rsidR="00D43BBB" w:rsidRPr="00A04969" w:rsidRDefault="00D43BBB" w:rsidP="002420B7">
      <w:pPr>
        <w:autoSpaceDE w:val="0"/>
        <w:autoSpaceDN w:val="0"/>
        <w:adjustRightInd w:val="0"/>
        <w:rPr>
          <w:sz w:val="20"/>
          <w:szCs w:val="20"/>
        </w:rPr>
      </w:pPr>
      <w:r w:rsidRPr="00A04969">
        <w:rPr>
          <w:rStyle w:val="FootnoteReference"/>
          <w:sz w:val="20"/>
          <w:szCs w:val="20"/>
        </w:rPr>
        <w:footnoteRef/>
      </w:r>
      <w:r w:rsidRPr="00A04969">
        <w:rPr>
          <w:sz w:val="20"/>
          <w:szCs w:val="20"/>
        </w:rPr>
        <w:t xml:space="preserve"> Department of Interior Department Manual Part 512: American Indian and Alaska Native Programs, Chapter 4: Department of the Interior Policy on Consultation with Indian Tribes and Alaska Native Corporations (Nov. 9, 2015).</w:t>
      </w:r>
    </w:p>
  </w:footnote>
  <w:footnote w:id="149">
    <w:p w14:paraId="5DD11A2B" w14:textId="5BAEC485" w:rsidR="00D43BBB" w:rsidRPr="00A04969" w:rsidRDefault="00D43BBB" w:rsidP="002420B7">
      <w:pPr>
        <w:widowControl w:val="0"/>
        <w:autoSpaceDE w:val="0"/>
        <w:autoSpaceDN w:val="0"/>
        <w:adjustRightInd w:val="0"/>
        <w:rPr>
          <w:sz w:val="20"/>
          <w:szCs w:val="20"/>
        </w:rPr>
      </w:pPr>
      <w:r w:rsidRPr="00A04969">
        <w:rPr>
          <w:rStyle w:val="FootnoteReference"/>
          <w:sz w:val="20"/>
          <w:szCs w:val="20"/>
        </w:rPr>
        <w:footnoteRef/>
      </w:r>
      <w:r w:rsidRPr="00A04969">
        <w:rPr>
          <w:sz w:val="20"/>
          <w:szCs w:val="20"/>
        </w:rPr>
        <w:t xml:space="preserve"> </w:t>
      </w:r>
      <w:proofErr w:type="gramStart"/>
      <w:r w:rsidRPr="00A04969">
        <w:rPr>
          <w:sz w:val="20"/>
          <w:szCs w:val="20"/>
        </w:rPr>
        <w:t xml:space="preserve">The Corporate Responsibility to Respect Human Rights, </w:t>
      </w:r>
      <w:r w:rsidRPr="00A04969">
        <w:rPr>
          <w:i/>
          <w:sz w:val="20"/>
          <w:szCs w:val="20"/>
        </w:rPr>
        <w:t>supra</w:t>
      </w:r>
      <w:r w:rsidRPr="00A04969">
        <w:rPr>
          <w:sz w:val="20"/>
          <w:szCs w:val="20"/>
        </w:rPr>
        <w:t xml:space="preserve"> n. </w:t>
      </w:r>
      <w:r w:rsidRPr="00A04969">
        <w:rPr>
          <w:sz w:val="20"/>
          <w:szCs w:val="20"/>
        </w:rPr>
        <w:fldChar w:fldCharType="begin"/>
      </w:r>
      <w:r w:rsidRPr="00A04969">
        <w:rPr>
          <w:sz w:val="20"/>
          <w:szCs w:val="20"/>
        </w:rPr>
        <w:instrText xml:space="preserve"> NOTEREF _Ref334083691 \h </w:instrText>
      </w:r>
      <w:r w:rsidRPr="00A04969">
        <w:rPr>
          <w:sz w:val="20"/>
          <w:szCs w:val="20"/>
        </w:rPr>
      </w:r>
      <w:r w:rsidRPr="00A04969">
        <w:rPr>
          <w:sz w:val="20"/>
          <w:szCs w:val="20"/>
        </w:rPr>
        <w:fldChar w:fldCharType="separate"/>
      </w:r>
      <w:r>
        <w:rPr>
          <w:sz w:val="20"/>
          <w:szCs w:val="20"/>
        </w:rPr>
        <w:t>8</w:t>
      </w:r>
      <w:r w:rsidRPr="00A04969">
        <w:rPr>
          <w:sz w:val="20"/>
          <w:szCs w:val="20"/>
        </w:rPr>
        <w:fldChar w:fldCharType="end"/>
      </w:r>
      <w:r w:rsidRPr="00A04969">
        <w:rPr>
          <w:sz w:val="20"/>
          <w:szCs w:val="20"/>
        </w:rPr>
        <w:t xml:space="preserve"> at 35.</w:t>
      </w:r>
      <w:proofErr w:type="gramEnd"/>
    </w:p>
  </w:footnote>
  <w:footnote w:id="150">
    <w:p w14:paraId="795B283D" w14:textId="6D37B310" w:rsidR="00D43BBB" w:rsidRPr="00A04969" w:rsidRDefault="00D43BBB" w:rsidP="002420B7">
      <w:pPr>
        <w:widowControl w:val="0"/>
        <w:numPr>
          <w:ilvl w:val="0"/>
          <w:numId w:val="1"/>
        </w:numPr>
        <w:tabs>
          <w:tab w:val="left" w:pos="220"/>
          <w:tab w:val="left" w:pos="720"/>
        </w:tabs>
        <w:autoSpaceDE w:val="0"/>
        <w:autoSpaceDN w:val="0"/>
        <w:adjustRightInd w:val="0"/>
        <w:ind w:left="0" w:firstLine="0"/>
        <w:rPr>
          <w:sz w:val="20"/>
          <w:szCs w:val="20"/>
        </w:rPr>
      </w:pPr>
      <w:r w:rsidRPr="00A04969">
        <w:rPr>
          <w:rStyle w:val="FootnoteReference"/>
          <w:sz w:val="20"/>
          <w:szCs w:val="20"/>
        </w:rPr>
        <w:footnoteRef/>
      </w:r>
      <w:r w:rsidRPr="00A04969">
        <w:rPr>
          <w:sz w:val="20"/>
          <w:szCs w:val="20"/>
        </w:rPr>
        <w:t xml:space="preserve"> </w:t>
      </w:r>
      <w:r w:rsidRPr="00A04969">
        <w:rPr>
          <w:i/>
          <w:sz w:val="20"/>
          <w:szCs w:val="20"/>
        </w:rPr>
        <w:t xml:space="preserve">See, e.g., </w:t>
      </w:r>
      <w:r w:rsidRPr="00A04969">
        <w:rPr>
          <w:bCs/>
          <w:sz w:val="20"/>
          <w:szCs w:val="20"/>
        </w:rPr>
        <w:t>Exec. Order No.</w:t>
      </w:r>
      <w:r w:rsidRPr="00A04969">
        <w:rPr>
          <w:sz w:val="20"/>
          <w:szCs w:val="20"/>
        </w:rPr>
        <w:t xml:space="preserve"> 13175, </w:t>
      </w:r>
      <w:r w:rsidRPr="00A04969">
        <w:rPr>
          <w:i/>
          <w:sz w:val="20"/>
          <w:szCs w:val="20"/>
        </w:rPr>
        <w:t>supra</w:t>
      </w:r>
      <w:r w:rsidRPr="00A04969">
        <w:rPr>
          <w:sz w:val="20"/>
          <w:szCs w:val="20"/>
        </w:rPr>
        <w:t xml:space="preserve"> n. </w:t>
      </w:r>
      <w:r w:rsidRPr="00A04969">
        <w:rPr>
          <w:sz w:val="20"/>
          <w:szCs w:val="20"/>
        </w:rPr>
        <w:fldChar w:fldCharType="begin"/>
      </w:r>
      <w:r w:rsidRPr="00A04969">
        <w:rPr>
          <w:sz w:val="20"/>
          <w:szCs w:val="20"/>
        </w:rPr>
        <w:instrText xml:space="preserve"> NOTEREF _Ref333993101 \h </w:instrText>
      </w:r>
      <w:r w:rsidRPr="00A04969">
        <w:rPr>
          <w:sz w:val="20"/>
          <w:szCs w:val="20"/>
        </w:rPr>
      </w:r>
      <w:r w:rsidRPr="00A04969">
        <w:rPr>
          <w:sz w:val="20"/>
          <w:szCs w:val="20"/>
        </w:rPr>
        <w:fldChar w:fldCharType="separate"/>
      </w:r>
      <w:r>
        <w:rPr>
          <w:sz w:val="20"/>
          <w:szCs w:val="20"/>
        </w:rPr>
        <w:t>7</w:t>
      </w:r>
      <w:r w:rsidRPr="00A04969">
        <w:rPr>
          <w:sz w:val="20"/>
          <w:szCs w:val="20"/>
        </w:rPr>
        <w:fldChar w:fldCharType="end"/>
      </w:r>
      <w:r w:rsidRPr="00A04969">
        <w:rPr>
          <w:sz w:val="20"/>
          <w:szCs w:val="20"/>
        </w:rPr>
        <w:t xml:space="preserve"> (consultation must occur with tribes on the Federally Recognized Indian Tribe List Act of 1994), Common List of Numerically Small Indigenous Peoples of Russia, N255 of 2000, and N760 of 2008.</w:t>
      </w:r>
    </w:p>
  </w:footnote>
  <w:footnote w:id="151">
    <w:p w14:paraId="3923A89E" w14:textId="5BA3CC2F" w:rsidR="00D43BBB" w:rsidRPr="00A04969" w:rsidRDefault="00D43BBB" w:rsidP="002420B7">
      <w:pPr>
        <w:widowControl w:val="0"/>
        <w:autoSpaceDE w:val="0"/>
        <w:autoSpaceDN w:val="0"/>
        <w:adjustRightInd w:val="0"/>
        <w:rPr>
          <w:sz w:val="20"/>
          <w:szCs w:val="20"/>
        </w:rPr>
      </w:pPr>
      <w:r w:rsidRPr="00A04969">
        <w:rPr>
          <w:rStyle w:val="FootnoteReference"/>
          <w:sz w:val="20"/>
          <w:szCs w:val="20"/>
        </w:rPr>
        <w:footnoteRef/>
      </w:r>
      <w:r w:rsidRPr="00A04969">
        <w:rPr>
          <w:sz w:val="20"/>
          <w:szCs w:val="20"/>
        </w:rPr>
        <w:t xml:space="preserve"> </w:t>
      </w:r>
      <w:r w:rsidRPr="00A04969">
        <w:rPr>
          <w:i/>
          <w:sz w:val="20"/>
          <w:szCs w:val="20"/>
        </w:rPr>
        <w:t>See, e.g.,</w:t>
      </w:r>
      <w:r w:rsidRPr="00A04969">
        <w:rPr>
          <w:sz w:val="20"/>
          <w:szCs w:val="20"/>
        </w:rPr>
        <w:t xml:space="preserve"> ILO No. 169 art. 1(2) (stating “self-identification as indigenous or tribal shall be regarded as a fundamental criterion for determining the groups to which the provisions of this Convention apply.”); UNDRIP art. </w:t>
      </w:r>
      <w:proofErr w:type="gramStart"/>
      <w:r w:rsidRPr="00A04969">
        <w:rPr>
          <w:sz w:val="20"/>
          <w:szCs w:val="20"/>
        </w:rPr>
        <w:t>33 (referring to the rights of Indigenous Peoples to decide their own identifies).</w:t>
      </w:r>
      <w:proofErr w:type="gramEnd"/>
    </w:p>
  </w:footnote>
  <w:footnote w:id="152">
    <w:p w14:paraId="28088400" w14:textId="79FEBF37"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IFC Performance Standards, Performance Standard 7: Indigenous Peoples (2012); </w:t>
      </w:r>
      <w:r w:rsidRPr="00A04969">
        <w:rPr>
          <w:rFonts w:ascii="Times New Roman" w:hAnsi="Times New Roman" w:cs="Times New Roman"/>
          <w:bCs/>
          <w:sz w:val="20"/>
          <w:szCs w:val="20"/>
        </w:rPr>
        <w:t xml:space="preserve">CI Principles, </w:t>
      </w:r>
      <w:r w:rsidRPr="00A04969">
        <w:rPr>
          <w:rFonts w:ascii="Times New Roman" w:hAnsi="Times New Roman" w:cs="Times New Roman"/>
          <w:bCs/>
          <w:i/>
          <w:sz w:val="20"/>
          <w:szCs w:val="20"/>
        </w:rPr>
        <w:t>supra</w:t>
      </w:r>
      <w:r w:rsidRPr="00A04969">
        <w:rPr>
          <w:rFonts w:ascii="Times New Roman" w:hAnsi="Times New Roman" w:cs="Times New Roman"/>
          <w:bCs/>
          <w:sz w:val="20"/>
          <w:szCs w:val="20"/>
        </w:rPr>
        <w:t xml:space="preserve"> n. </w:t>
      </w:r>
      <w:r w:rsidRPr="00A04969">
        <w:rPr>
          <w:rFonts w:ascii="Times New Roman" w:hAnsi="Times New Roman" w:cs="Times New Roman"/>
          <w:bCs/>
          <w:sz w:val="20"/>
          <w:szCs w:val="20"/>
        </w:rPr>
        <w:fldChar w:fldCharType="begin"/>
      </w:r>
      <w:r w:rsidRPr="00A04969">
        <w:rPr>
          <w:rFonts w:ascii="Times New Roman" w:hAnsi="Times New Roman" w:cs="Times New Roman"/>
          <w:bCs/>
          <w:sz w:val="20"/>
          <w:szCs w:val="20"/>
        </w:rPr>
        <w:instrText xml:space="preserve"> NOTEREF _Ref334080485 \h </w:instrText>
      </w:r>
      <w:r w:rsidRPr="00A04969">
        <w:rPr>
          <w:rFonts w:ascii="Times New Roman" w:hAnsi="Times New Roman" w:cs="Times New Roman"/>
          <w:bCs/>
          <w:sz w:val="20"/>
          <w:szCs w:val="20"/>
        </w:rPr>
      </w:r>
      <w:r w:rsidRPr="00A04969">
        <w:rPr>
          <w:rFonts w:ascii="Times New Roman" w:hAnsi="Times New Roman" w:cs="Times New Roman"/>
          <w:bCs/>
          <w:sz w:val="20"/>
          <w:szCs w:val="20"/>
        </w:rPr>
        <w:fldChar w:fldCharType="separate"/>
      </w:r>
      <w:r>
        <w:rPr>
          <w:rFonts w:ascii="Times New Roman" w:hAnsi="Times New Roman" w:cs="Times New Roman"/>
          <w:bCs/>
          <w:sz w:val="20"/>
          <w:szCs w:val="20"/>
        </w:rPr>
        <w:t>60</w:t>
      </w:r>
      <w:r w:rsidRPr="00A04969">
        <w:rPr>
          <w:rFonts w:ascii="Times New Roman" w:hAnsi="Times New Roman" w:cs="Times New Roman"/>
          <w:bCs/>
          <w:sz w:val="20"/>
          <w:szCs w:val="20"/>
        </w:rPr>
        <w:fldChar w:fldCharType="end"/>
      </w:r>
      <w:r w:rsidRPr="00A04969">
        <w:rPr>
          <w:rFonts w:ascii="Times New Roman" w:hAnsi="Times New Roman" w:cs="Times New Roman"/>
          <w:bCs/>
          <w:sz w:val="20"/>
          <w:szCs w:val="20"/>
        </w:rPr>
        <w:t>.</w:t>
      </w:r>
    </w:p>
  </w:footnote>
  <w:footnote w:id="153">
    <w:p w14:paraId="356C8CA3" w14:textId="0CE11D51"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proofErr w:type="gramStart"/>
      <w:r w:rsidRPr="00A04969">
        <w:rPr>
          <w:rFonts w:ascii="Times New Roman" w:hAnsi="Times New Roman" w:cs="Times New Roman"/>
          <w:sz w:val="20"/>
          <w:szCs w:val="20"/>
        </w:rPr>
        <w:t xml:space="preserve">IUCN Standard, </w:t>
      </w:r>
      <w:r w:rsidRPr="00A04969">
        <w:rPr>
          <w:rFonts w:ascii="Times New Roman" w:hAnsi="Times New Roman" w:cs="Times New Roman"/>
          <w:i/>
          <w:sz w:val="20"/>
          <w:szCs w:val="20"/>
        </w:rPr>
        <w:t>supra</w:t>
      </w:r>
      <w:r w:rsidRPr="00A04969">
        <w:rPr>
          <w:rFonts w:ascii="Times New Roman" w:hAnsi="Times New Roman" w:cs="Times New Roman"/>
          <w:sz w:val="20"/>
          <w:szCs w:val="20"/>
        </w:rPr>
        <w:t xml:space="preserve"> n. </w:t>
      </w:r>
      <w:r w:rsidRPr="00A04969">
        <w:rPr>
          <w:rFonts w:ascii="Times New Roman" w:hAnsi="Times New Roman" w:cs="Times New Roman"/>
          <w:sz w:val="20"/>
          <w:szCs w:val="20"/>
        </w:rPr>
        <w:fldChar w:fldCharType="begin"/>
      </w:r>
      <w:r w:rsidRPr="00A04969">
        <w:rPr>
          <w:rFonts w:ascii="Times New Roman" w:hAnsi="Times New Roman" w:cs="Times New Roman"/>
          <w:sz w:val="20"/>
          <w:szCs w:val="20"/>
        </w:rPr>
        <w:instrText xml:space="preserve"> NOTEREF _Ref334083973 \h </w:instrText>
      </w:r>
      <w:r w:rsidRPr="00A04969">
        <w:rPr>
          <w:rFonts w:ascii="Times New Roman" w:hAnsi="Times New Roman" w:cs="Times New Roman"/>
          <w:sz w:val="20"/>
          <w:szCs w:val="20"/>
        </w:rPr>
      </w:r>
      <w:r w:rsidRPr="00A04969">
        <w:rPr>
          <w:rFonts w:ascii="Times New Roman" w:hAnsi="Times New Roman" w:cs="Times New Roman"/>
          <w:sz w:val="20"/>
          <w:szCs w:val="20"/>
        </w:rPr>
        <w:fldChar w:fldCharType="separate"/>
      </w:r>
      <w:r>
        <w:rPr>
          <w:rFonts w:ascii="Times New Roman" w:hAnsi="Times New Roman" w:cs="Times New Roman"/>
          <w:sz w:val="20"/>
          <w:szCs w:val="20"/>
        </w:rPr>
        <w:t>59</w:t>
      </w:r>
      <w:r w:rsidRPr="00A04969">
        <w:rPr>
          <w:rFonts w:ascii="Times New Roman" w:hAnsi="Times New Roman" w:cs="Times New Roman"/>
          <w:sz w:val="20"/>
          <w:szCs w:val="20"/>
        </w:rPr>
        <w:fldChar w:fldCharType="end"/>
      </w:r>
      <w:r w:rsidRPr="00A04969">
        <w:rPr>
          <w:rFonts w:ascii="Times New Roman" w:hAnsi="Times New Roman" w:cs="Times New Roman"/>
          <w:sz w:val="20"/>
          <w:szCs w:val="20"/>
        </w:rPr>
        <w:t>.</w:t>
      </w:r>
      <w:proofErr w:type="gramEnd"/>
      <w:r w:rsidRPr="00A04969">
        <w:rPr>
          <w:rFonts w:ascii="Times New Roman" w:hAnsi="Times New Roman" w:cs="Times New Roman"/>
          <w:sz w:val="20"/>
          <w:szCs w:val="20"/>
        </w:rPr>
        <w:t xml:space="preserve"> </w:t>
      </w:r>
    </w:p>
  </w:footnote>
  <w:footnote w:id="154">
    <w:p w14:paraId="209CC250" w14:textId="77777777" w:rsidR="00D43BBB" w:rsidRPr="00A04969" w:rsidRDefault="00D43BBB" w:rsidP="002420B7">
      <w:pPr>
        <w:widowControl w:val="0"/>
        <w:autoSpaceDE w:val="0"/>
        <w:autoSpaceDN w:val="0"/>
        <w:adjustRightInd w:val="0"/>
        <w:rPr>
          <w:sz w:val="20"/>
          <w:szCs w:val="20"/>
        </w:rPr>
      </w:pPr>
      <w:r w:rsidRPr="00A04969">
        <w:rPr>
          <w:rStyle w:val="FootnoteReference"/>
          <w:sz w:val="20"/>
          <w:szCs w:val="20"/>
        </w:rPr>
        <w:footnoteRef/>
      </w:r>
      <w:r w:rsidRPr="00A04969">
        <w:rPr>
          <w:sz w:val="20"/>
          <w:szCs w:val="20"/>
        </w:rPr>
        <w:t xml:space="preserve"> Laughlin, J. et al., UN-REDD Programme, Guidelines on Free, Prior and</w:t>
      </w:r>
    </w:p>
    <w:p w14:paraId="425F8CFF" w14:textId="6E709C1C" w:rsidR="00D43BBB" w:rsidRPr="00A04969" w:rsidRDefault="00D43BBB" w:rsidP="002420B7">
      <w:pPr>
        <w:pStyle w:val="FootnoteText"/>
        <w:rPr>
          <w:rFonts w:ascii="Times New Roman" w:hAnsi="Times New Roman" w:cs="Times New Roman"/>
          <w:sz w:val="20"/>
          <w:szCs w:val="20"/>
        </w:rPr>
      </w:pPr>
      <w:proofErr w:type="gramStart"/>
      <w:r w:rsidRPr="00A04969">
        <w:rPr>
          <w:rFonts w:ascii="Times New Roman" w:hAnsi="Times New Roman" w:cs="Times New Roman"/>
          <w:sz w:val="20"/>
          <w:szCs w:val="20"/>
        </w:rPr>
        <w:t>Informed Consent at 18–19 (Jan. 2013) [hereinafter UN-REDD Guidelines on FPIC]; UN Resource Kit on Indigenous Peoples Issues (2008).</w:t>
      </w:r>
      <w:proofErr w:type="gramEnd"/>
    </w:p>
  </w:footnote>
  <w:footnote w:id="155">
    <w:p w14:paraId="542CFACC" w14:textId="0BF35AE2"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proofErr w:type="gramStart"/>
      <w:r w:rsidRPr="00A04969">
        <w:rPr>
          <w:rFonts w:ascii="Times New Roman" w:hAnsi="Times New Roman" w:cs="Times New Roman"/>
          <w:sz w:val="20"/>
          <w:szCs w:val="20"/>
        </w:rPr>
        <w:t xml:space="preserve">Ginoogaming Consultation Protocol, </w:t>
      </w:r>
      <w:r w:rsidRPr="00A04969">
        <w:rPr>
          <w:rFonts w:ascii="Times New Roman" w:hAnsi="Times New Roman" w:cs="Times New Roman"/>
          <w:i/>
          <w:sz w:val="20"/>
          <w:szCs w:val="20"/>
        </w:rPr>
        <w:t>supra</w:t>
      </w:r>
      <w:r w:rsidRPr="00A04969">
        <w:rPr>
          <w:rFonts w:ascii="Times New Roman" w:hAnsi="Times New Roman" w:cs="Times New Roman"/>
          <w:sz w:val="20"/>
          <w:szCs w:val="20"/>
        </w:rPr>
        <w:t xml:space="preserve"> n. </w:t>
      </w:r>
      <w:r w:rsidRPr="00A04969">
        <w:rPr>
          <w:rFonts w:ascii="Times New Roman" w:hAnsi="Times New Roman" w:cs="Times New Roman"/>
          <w:sz w:val="20"/>
          <w:szCs w:val="20"/>
        </w:rPr>
        <w:fldChar w:fldCharType="begin"/>
      </w:r>
      <w:r w:rsidRPr="00A04969">
        <w:rPr>
          <w:rFonts w:ascii="Times New Roman" w:hAnsi="Times New Roman" w:cs="Times New Roman"/>
          <w:sz w:val="20"/>
          <w:szCs w:val="20"/>
        </w:rPr>
        <w:instrText xml:space="preserve"> NOTEREF _Ref333999948 \h </w:instrText>
      </w:r>
      <w:r w:rsidRPr="00A04969">
        <w:rPr>
          <w:rFonts w:ascii="Times New Roman" w:hAnsi="Times New Roman" w:cs="Times New Roman"/>
          <w:sz w:val="20"/>
          <w:szCs w:val="20"/>
        </w:rPr>
      </w:r>
      <w:r w:rsidRPr="00A04969">
        <w:rPr>
          <w:rFonts w:ascii="Times New Roman" w:hAnsi="Times New Roman" w:cs="Times New Roman"/>
          <w:sz w:val="20"/>
          <w:szCs w:val="20"/>
        </w:rPr>
        <w:fldChar w:fldCharType="separate"/>
      </w:r>
      <w:r>
        <w:rPr>
          <w:rFonts w:ascii="Times New Roman" w:hAnsi="Times New Roman" w:cs="Times New Roman"/>
          <w:sz w:val="20"/>
          <w:szCs w:val="20"/>
        </w:rPr>
        <w:t>46</w:t>
      </w:r>
      <w:r w:rsidRPr="00A04969">
        <w:rPr>
          <w:rFonts w:ascii="Times New Roman" w:hAnsi="Times New Roman" w:cs="Times New Roman"/>
          <w:sz w:val="20"/>
          <w:szCs w:val="20"/>
        </w:rPr>
        <w:fldChar w:fldCharType="end"/>
      </w:r>
      <w:r w:rsidRPr="00A04969">
        <w:rPr>
          <w:rFonts w:ascii="Times New Roman" w:hAnsi="Times New Roman" w:cs="Times New Roman"/>
          <w:sz w:val="20"/>
          <w:szCs w:val="20"/>
        </w:rPr>
        <w:t xml:space="preserve"> at 13.</w:t>
      </w:r>
      <w:proofErr w:type="gramEnd"/>
    </w:p>
  </w:footnote>
  <w:footnote w:id="156">
    <w:p w14:paraId="69BCBC3B" w14:textId="745B9129"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Environmental Law Institute, Strengthening Government-to-Government Consultation Related to Marine Subsistence Resources at 13 (2015) [hereinafter ELI Government to Government Consultation].</w:t>
      </w:r>
    </w:p>
  </w:footnote>
  <w:footnote w:id="157">
    <w:p w14:paraId="5FDA56F7" w14:textId="77777777"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Dawson, J., et al, Cruise Tourism in Arctic Canada, Final Report (2012). </w:t>
      </w:r>
    </w:p>
  </w:footnote>
  <w:footnote w:id="158">
    <w:p w14:paraId="34097B91" w14:textId="72736968" w:rsidR="00D43BBB" w:rsidRPr="00A04969" w:rsidRDefault="00D43BBB" w:rsidP="002420B7">
      <w:pPr>
        <w:widowControl w:val="0"/>
        <w:autoSpaceDE w:val="0"/>
        <w:autoSpaceDN w:val="0"/>
        <w:adjustRightInd w:val="0"/>
        <w:rPr>
          <w:sz w:val="20"/>
          <w:szCs w:val="20"/>
        </w:rPr>
      </w:pPr>
      <w:r w:rsidRPr="00A04969">
        <w:rPr>
          <w:rStyle w:val="FootnoteReference"/>
          <w:sz w:val="20"/>
          <w:szCs w:val="20"/>
        </w:rPr>
        <w:footnoteRef/>
      </w:r>
      <w:r w:rsidRPr="00A04969">
        <w:rPr>
          <w:sz w:val="20"/>
          <w:szCs w:val="20"/>
        </w:rPr>
        <w:t xml:space="preserve">  </w:t>
      </w:r>
      <w:proofErr w:type="gramStart"/>
      <w:r w:rsidRPr="00A04969">
        <w:rPr>
          <w:sz w:val="20"/>
          <w:szCs w:val="20"/>
        </w:rPr>
        <w:t>For example, Exec.</w:t>
      </w:r>
      <w:proofErr w:type="gramEnd"/>
      <w:r w:rsidRPr="00A04969">
        <w:rPr>
          <w:sz w:val="20"/>
          <w:szCs w:val="20"/>
        </w:rPr>
        <w:t xml:space="preserve"> Order No. 13175 and the OMB Guidance require each department or agency to have a tribal consultation official, and some departmental/agency policies require and have tribal liaisons at the sub-agency level and/or at the regional level.</w:t>
      </w:r>
    </w:p>
  </w:footnote>
  <w:footnote w:id="159">
    <w:p w14:paraId="6AD63DE5" w14:textId="72F794C9"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U.S. Department of the Interior Secretarial Order 3317, Policy on Consultation with Indian Tribes (Dec. 2011).</w:t>
      </w:r>
    </w:p>
  </w:footnote>
  <w:footnote w:id="160">
    <w:p w14:paraId="38115A53" w14:textId="7AEBD52E"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proofErr w:type="gramStart"/>
      <w:r w:rsidRPr="00A04969">
        <w:rPr>
          <w:rFonts w:ascii="Times New Roman" w:hAnsi="Times New Roman" w:cs="Times New Roman"/>
          <w:i/>
          <w:sz w:val="20"/>
          <w:szCs w:val="20"/>
        </w:rPr>
        <w:t>See, e.g.,</w:t>
      </w:r>
      <w:r w:rsidRPr="00A04969">
        <w:rPr>
          <w:rFonts w:ascii="Times New Roman" w:hAnsi="Times New Roman" w:cs="Times New Roman"/>
          <w:sz w:val="20"/>
          <w:szCs w:val="20"/>
        </w:rPr>
        <w:t xml:space="preserve"> ELI Government to Government Consultation, </w:t>
      </w:r>
      <w:r w:rsidRPr="00A04969">
        <w:rPr>
          <w:rFonts w:ascii="Times New Roman" w:hAnsi="Times New Roman" w:cs="Times New Roman"/>
          <w:i/>
          <w:sz w:val="20"/>
          <w:szCs w:val="20"/>
        </w:rPr>
        <w:t>supra</w:t>
      </w:r>
      <w:r w:rsidRPr="00A04969">
        <w:rPr>
          <w:rFonts w:ascii="Times New Roman" w:hAnsi="Times New Roman" w:cs="Times New Roman"/>
          <w:sz w:val="20"/>
          <w:szCs w:val="20"/>
        </w:rPr>
        <w:t xml:space="preserve"> n. </w:t>
      </w:r>
      <w:r w:rsidRPr="00A04969">
        <w:rPr>
          <w:rFonts w:ascii="Times New Roman" w:hAnsi="Times New Roman" w:cs="Times New Roman"/>
          <w:sz w:val="20"/>
          <w:szCs w:val="20"/>
        </w:rPr>
        <w:fldChar w:fldCharType="begin"/>
      </w:r>
      <w:r w:rsidRPr="00A04969">
        <w:rPr>
          <w:rFonts w:ascii="Times New Roman" w:hAnsi="Times New Roman" w:cs="Times New Roman"/>
          <w:sz w:val="20"/>
          <w:szCs w:val="20"/>
        </w:rPr>
        <w:instrText xml:space="preserve"> NOTEREF _Ref334001164 \h </w:instrText>
      </w:r>
      <w:r w:rsidRPr="00A04969">
        <w:rPr>
          <w:rFonts w:ascii="Times New Roman" w:hAnsi="Times New Roman" w:cs="Times New Roman"/>
          <w:sz w:val="20"/>
          <w:szCs w:val="20"/>
        </w:rPr>
      </w:r>
      <w:r w:rsidRPr="00A04969">
        <w:rPr>
          <w:rFonts w:ascii="Times New Roman" w:hAnsi="Times New Roman" w:cs="Times New Roman"/>
          <w:sz w:val="20"/>
          <w:szCs w:val="20"/>
        </w:rPr>
        <w:fldChar w:fldCharType="separate"/>
      </w:r>
      <w:r>
        <w:rPr>
          <w:rFonts w:ascii="Times New Roman" w:hAnsi="Times New Roman" w:cs="Times New Roman"/>
          <w:sz w:val="20"/>
          <w:szCs w:val="20"/>
        </w:rPr>
        <w:t>155</w:t>
      </w:r>
      <w:r w:rsidRPr="00A04969">
        <w:rPr>
          <w:rFonts w:ascii="Times New Roman" w:hAnsi="Times New Roman" w:cs="Times New Roman"/>
          <w:sz w:val="20"/>
          <w:szCs w:val="20"/>
        </w:rPr>
        <w:fldChar w:fldCharType="end"/>
      </w:r>
      <w:r w:rsidRPr="00A04969">
        <w:rPr>
          <w:rFonts w:ascii="Times New Roman" w:hAnsi="Times New Roman" w:cs="Times New Roman"/>
          <w:sz w:val="20"/>
          <w:szCs w:val="20"/>
        </w:rPr>
        <w:t xml:space="preserve"> at 27 (noting FWS and BLM offices in Barrow).</w:t>
      </w:r>
      <w:proofErr w:type="gramEnd"/>
      <w:r w:rsidRPr="00A04969">
        <w:rPr>
          <w:rFonts w:ascii="Times New Roman" w:hAnsi="Times New Roman" w:cs="Times New Roman"/>
          <w:sz w:val="20"/>
          <w:szCs w:val="20"/>
        </w:rPr>
        <w:t xml:space="preserve"> </w:t>
      </w:r>
    </w:p>
  </w:footnote>
  <w:footnote w:id="161">
    <w:p w14:paraId="0CC2FDCB" w14:textId="11FABDF3" w:rsidR="00D43BBB" w:rsidRPr="00A04969" w:rsidRDefault="00D43BBB" w:rsidP="002420B7">
      <w:pPr>
        <w:rPr>
          <w:rFonts w:eastAsia="Times New Roman"/>
          <w:color w:val="000000"/>
          <w:sz w:val="20"/>
          <w:szCs w:val="20"/>
          <w:lang w:val="en-US"/>
        </w:rPr>
      </w:pPr>
      <w:r w:rsidRPr="00A04969">
        <w:rPr>
          <w:rStyle w:val="FootnoteReference"/>
          <w:sz w:val="20"/>
          <w:szCs w:val="20"/>
        </w:rPr>
        <w:footnoteRef/>
      </w:r>
      <w:r w:rsidRPr="00A04969">
        <w:rPr>
          <w:sz w:val="20"/>
          <w:szCs w:val="20"/>
        </w:rPr>
        <w:t xml:space="preserve"> </w:t>
      </w:r>
      <w:r w:rsidRPr="00A04969">
        <w:rPr>
          <w:color w:val="000000"/>
          <w:sz w:val="20"/>
          <w:szCs w:val="20"/>
        </w:rPr>
        <w:t xml:space="preserve">On Approval of Regulation on the State Committee of the Republic of Sakha (Yakutia) Decree No. 1896 (2013), art. 1.1; </w:t>
      </w:r>
      <w:r w:rsidRPr="00A04969">
        <w:rPr>
          <w:rFonts w:eastAsia="Times New Roman"/>
          <w:color w:val="000000"/>
          <w:sz w:val="20"/>
          <w:szCs w:val="20"/>
          <w:lang w:val="en-US"/>
        </w:rPr>
        <w:t xml:space="preserve">On the Ombudsperson for Rights of Indigenous Peoples in the Republic of Sakha (Yakutia) </w:t>
      </w:r>
      <w:r w:rsidRPr="00A04969">
        <w:rPr>
          <w:color w:val="000000"/>
          <w:sz w:val="20"/>
          <w:szCs w:val="20"/>
        </w:rPr>
        <w:t>N 1220-H 1327-IV</w:t>
      </w:r>
      <w:r w:rsidRPr="00A04969">
        <w:rPr>
          <w:rFonts w:eastAsia="Times New Roman"/>
          <w:color w:val="000000"/>
          <w:sz w:val="20"/>
          <w:szCs w:val="20"/>
          <w:lang w:val="en-US"/>
        </w:rPr>
        <w:t xml:space="preserve"> (2013)</w:t>
      </w:r>
      <w:r w:rsidRPr="00A04969">
        <w:rPr>
          <w:rFonts w:eastAsia="Times New Roman"/>
          <w:color w:val="000000"/>
          <w:sz w:val="20"/>
          <w:szCs w:val="20"/>
        </w:rPr>
        <w:t xml:space="preserve">; </w:t>
      </w:r>
      <w:r w:rsidRPr="00A04969">
        <w:rPr>
          <w:rFonts w:eastAsia="Times New Roman"/>
          <w:color w:val="000000"/>
          <w:sz w:val="20"/>
          <w:szCs w:val="20"/>
          <w:lang w:val="en-US"/>
        </w:rPr>
        <w:t>Executive Order 53 by ChAD Governor - On the Indigenous Small Peoples Board under ChAD Governor (2013).</w:t>
      </w:r>
    </w:p>
  </w:footnote>
  <w:footnote w:id="162">
    <w:p w14:paraId="2F8F0DD8" w14:textId="7F71B75B"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r w:rsidRPr="00A04969">
        <w:rPr>
          <w:rFonts w:ascii="Times New Roman" w:hAnsi="Times New Roman" w:cs="Times New Roman"/>
          <w:sz w:val="20"/>
          <w:szCs w:val="20"/>
          <w:lang w:val="en-CA"/>
        </w:rPr>
        <w:t xml:space="preserve">Arctic </w:t>
      </w:r>
      <w:r w:rsidRPr="00A04969">
        <w:rPr>
          <w:rFonts w:ascii="Times New Roman" w:hAnsi="Times New Roman" w:cs="Times New Roman"/>
          <w:color w:val="000000" w:themeColor="text1"/>
          <w:sz w:val="20"/>
          <w:szCs w:val="20"/>
          <w:lang w:val="en-CA"/>
        </w:rPr>
        <w:t>Council</w:t>
      </w:r>
      <w:r w:rsidRPr="00A04969">
        <w:rPr>
          <w:rFonts w:ascii="Times New Roman" w:hAnsi="Times New Roman" w:cs="Times New Roman"/>
          <w:b/>
          <w:color w:val="000000" w:themeColor="text1"/>
          <w:sz w:val="20"/>
          <w:szCs w:val="20"/>
          <w:lang w:val="en-CA"/>
        </w:rPr>
        <w:t xml:space="preserve"> </w:t>
      </w:r>
      <w:r w:rsidRPr="00A04969">
        <w:rPr>
          <w:rStyle w:val="Strong"/>
          <w:rFonts w:ascii="Times New Roman" w:eastAsia="Times New Roman" w:hAnsi="Times New Roman" w:cs="Times New Roman"/>
          <w:b w:val="0"/>
          <w:color w:val="000000" w:themeColor="text1"/>
          <w:sz w:val="20"/>
          <w:szCs w:val="20"/>
          <w:shd w:val="clear" w:color="auto" w:fill="FFFFFF"/>
        </w:rPr>
        <w:t>Arctic Monitoring and Assessment Programme, Adaptation Actions for a Changing Arctic (</w:t>
      </w:r>
      <w:r w:rsidRPr="00A04969">
        <w:rPr>
          <w:rStyle w:val="Strong"/>
          <w:rFonts w:ascii="Times New Roman" w:eastAsia="Times New Roman" w:hAnsi="Times New Roman" w:cs="Times New Roman"/>
          <w:b w:val="0"/>
          <w:bCs w:val="0"/>
          <w:color w:val="000000" w:themeColor="text1"/>
          <w:sz w:val="20"/>
          <w:szCs w:val="20"/>
          <w:shd w:val="clear" w:color="auto" w:fill="FFFFFF"/>
        </w:rPr>
        <w:t>a</w:t>
      </w:r>
      <w:r w:rsidRPr="00A04969">
        <w:rPr>
          <w:rStyle w:val="Strong"/>
          <w:rFonts w:ascii="Times New Roman" w:eastAsia="Times New Roman" w:hAnsi="Times New Roman" w:cs="Times New Roman"/>
          <w:b w:val="0"/>
          <w:color w:val="000000" w:themeColor="text1"/>
          <w:sz w:val="20"/>
          <w:szCs w:val="20"/>
          <w:shd w:val="clear" w:color="auto" w:fill="FFFFFF"/>
        </w:rPr>
        <w:t xml:space="preserve">)): Draft Synthesis Report at 17 (2013) [hereinafter </w:t>
      </w:r>
      <w:r w:rsidRPr="00A04969">
        <w:rPr>
          <w:rStyle w:val="Strong"/>
          <w:rFonts w:ascii="Times New Roman" w:eastAsia="Times New Roman" w:hAnsi="Times New Roman" w:cs="Times New Roman"/>
          <w:b w:val="0"/>
          <w:bCs w:val="0"/>
          <w:color w:val="000000" w:themeColor="text1"/>
          <w:sz w:val="20"/>
          <w:szCs w:val="20"/>
          <w:shd w:val="clear" w:color="auto" w:fill="FFFFFF"/>
        </w:rPr>
        <w:t>AACA (a</w:t>
      </w:r>
      <w:r w:rsidRPr="00A04969">
        <w:rPr>
          <w:rStyle w:val="Strong"/>
          <w:rFonts w:ascii="Times New Roman" w:eastAsia="Times New Roman" w:hAnsi="Times New Roman" w:cs="Times New Roman"/>
          <w:b w:val="0"/>
          <w:color w:val="000000" w:themeColor="text1"/>
          <w:sz w:val="20"/>
          <w:szCs w:val="20"/>
          <w:shd w:val="clear" w:color="auto" w:fill="FFFFFF"/>
        </w:rPr>
        <w:t>)]</w:t>
      </w:r>
      <w:r w:rsidRPr="00A04969">
        <w:rPr>
          <w:rFonts w:ascii="Times New Roman" w:hAnsi="Times New Roman" w:cs="Times New Roman"/>
          <w:sz w:val="20"/>
          <w:szCs w:val="20"/>
        </w:rPr>
        <w:t>.</w:t>
      </w:r>
    </w:p>
  </w:footnote>
  <w:footnote w:id="163">
    <w:p w14:paraId="545C1C6D" w14:textId="7A7153E0" w:rsidR="00D43BBB" w:rsidRPr="00A04969" w:rsidRDefault="00D43BBB" w:rsidP="002420B7">
      <w:pPr>
        <w:widowControl w:val="0"/>
        <w:autoSpaceDE w:val="0"/>
        <w:autoSpaceDN w:val="0"/>
        <w:adjustRightInd w:val="0"/>
        <w:rPr>
          <w:sz w:val="20"/>
          <w:szCs w:val="20"/>
        </w:rPr>
      </w:pPr>
      <w:r w:rsidRPr="00A04969">
        <w:rPr>
          <w:rStyle w:val="FootnoteReference"/>
          <w:sz w:val="20"/>
          <w:szCs w:val="20"/>
        </w:rPr>
        <w:footnoteRef/>
      </w:r>
      <w:r w:rsidRPr="00A04969">
        <w:rPr>
          <w:sz w:val="20"/>
          <w:szCs w:val="20"/>
        </w:rPr>
        <w:t xml:space="preserve"> Johnston et al, </w:t>
      </w:r>
      <w:r w:rsidRPr="00A04969">
        <w:rPr>
          <w:i/>
          <w:sz w:val="20"/>
          <w:szCs w:val="20"/>
        </w:rPr>
        <w:t>Perspectives of Decision Makers and Regulators on Climate Change and Adaptation in Expedition Cruise Ship Tourism in Nunavut</w:t>
      </w:r>
      <w:r w:rsidRPr="00A04969">
        <w:rPr>
          <w:sz w:val="20"/>
          <w:szCs w:val="20"/>
        </w:rPr>
        <w:t>, 35 The Northern Review 69, 80 (2012).</w:t>
      </w:r>
    </w:p>
  </w:footnote>
  <w:footnote w:id="164">
    <w:p w14:paraId="088E012C" w14:textId="3F492AF4" w:rsidR="00D43BBB" w:rsidRPr="00A04969" w:rsidRDefault="00D43BBB" w:rsidP="002420B7">
      <w:pPr>
        <w:widowControl w:val="0"/>
        <w:numPr>
          <w:ilvl w:val="0"/>
          <w:numId w:val="1"/>
        </w:numPr>
        <w:tabs>
          <w:tab w:val="left" w:pos="-90"/>
          <w:tab w:val="left" w:pos="220"/>
        </w:tabs>
        <w:autoSpaceDE w:val="0"/>
        <w:autoSpaceDN w:val="0"/>
        <w:adjustRightInd w:val="0"/>
        <w:ind w:left="0" w:firstLine="0"/>
        <w:rPr>
          <w:sz w:val="20"/>
          <w:szCs w:val="20"/>
        </w:rPr>
      </w:pPr>
      <w:r w:rsidRPr="00A04969">
        <w:rPr>
          <w:rStyle w:val="FootnoteReference"/>
          <w:sz w:val="20"/>
          <w:szCs w:val="20"/>
        </w:rPr>
        <w:footnoteRef/>
      </w:r>
      <w:r w:rsidRPr="00A04969">
        <w:rPr>
          <w:sz w:val="20"/>
          <w:szCs w:val="20"/>
        </w:rPr>
        <w:t xml:space="preserve">  ELI Government to Government Consultation, </w:t>
      </w:r>
      <w:r w:rsidRPr="00A04969">
        <w:rPr>
          <w:i/>
          <w:sz w:val="20"/>
          <w:szCs w:val="20"/>
        </w:rPr>
        <w:t xml:space="preserve">supra </w:t>
      </w:r>
      <w:r w:rsidRPr="00A04969">
        <w:rPr>
          <w:sz w:val="20"/>
          <w:szCs w:val="20"/>
        </w:rPr>
        <w:t xml:space="preserve">n. </w:t>
      </w:r>
      <w:r w:rsidRPr="00A04969">
        <w:rPr>
          <w:sz w:val="20"/>
          <w:szCs w:val="20"/>
        </w:rPr>
        <w:fldChar w:fldCharType="begin"/>
      </w:r>
      <w:r w:rsidRPr="00A04969">
        <w:rPr>
          <w:sz w:val="20"/>
          <w:szCs w:val="20"/>
        </w:rPr>
        <w:instrText xml:space="preserve"> NOTEREF _Ref334001164 \h </w:instrText>
      </w:r>
      <w:r w:rsidRPr="00A04969">
        <w:rPr>
          <w:sz w:val="20"/>
          <w:szCs w:val="20"/>
        </w:rPr>
      </w:r>
      <w:r w:rsidRPr="00A04969">
        <w:rPr>
          <w:sz w:val="20"/>
          <w:szCs w:val="20"/>
        </w:rPr>
        <w:fldChar w:fldCharType="separate"/>
      </w:r>
      <w:r>
        <w:rPr>
          <w:sz w:val="20"/>
          <w:szCs w:val="20"/>
        </w:rPr>
        <w:t>155</w:t>
      </w:r>
      <w:r w:rsidRPr="00A04969">
        <w:rPr>
          <w:sz w:val="20"/>
          <w:szCs w:val="20"/>
        </w:rPr>
        <w:fldChar w:fldCharType="end"/>
      </w:r>
      <w:r w:rsidRPr="00A04969">
        <w:rPr>
          <w:sz w:val="20"/>
          <w:szCs w:val="20"/>
        </w:rPr>
        <w:t xml:space="preserve"> at 15 (noting that the question of who represents a community for purposes of consultation is related to the issue of how consultation fits within the context of the broader engagement framework). </w:t>
      </w:r>
    </w:p>
  </w:footnote>
  <w:footnote w:id="165">
    <w:p w14:paraId="4ACFB160" w14:textId="76922BF3" w:rsidR="00D43BBB" w:rsidRPr="00A04969" w:rsidRDefault="00D43BBB" w:rsidP="002420B7">
      <w:pPr>
        <w:widowControl w:val="0"/>
        <w:autoSpaceDE w:val="0"/>
        <w:autoSpaceDN w:val="0"/>
        <w:adjustRightInd w:val="0"/>
        <w:rPr>
          <w:sz w:val="20"/>
          <w:szCs w:val="20"/>
        </w:rPr>
      </w:pPr>
      <w:r w:rsidRPr="00A04969">
        <w:rPr>
          <w:rStyle w:val="FootnoteReference"/>
          <w:sz w:val="20"/>
          <w:szCs w:val="20"/>
        </w:rPr>
        <w:footnoteRef/>
      </w:r>
      <w:r w:rsidRPr="00A04969">
        <w:rPr>
          <w:sz w:val="20"/>
          <w:szCs w:val="20"/>
        </w:rPr>
        <w:t xml:space="preserve"> Poelzer, G. et al, </w:t>
      </w:r>
      <w:r w:rsidRPr="00A04969">
        <w:rPr>
          <w:bCs/>
          <w:i/>
          <w:sz w:val="20"/>
          <w:szCs w:val="20"/>
        </w:rPr>
        <w:t>Governance in the Arctic: Political Systems and Geopolitics</w:t>
      </w:r>
      <w:r w:rsidRPr="00A04969">
        <w:rPr>
          <w:bCs/>
          <w:sz w:val="20"/>
          <w:szCs w:val="20"/>
        </w:rPr>
        <w:t xml:space="preserve">, in </w:t>
      </w:r>
      <w:r w:rsidRPr="00A04969">
        <w:rPr>
          <w:sz w:val="20"/>
          <w:szCs w:val="20"/>
        </w:rPr>
        <w:t xml:space="preserve">Arctic Human Development Report II </w:t>
      </w:r>
      <w:r w:rsidRPr="00A04969">
        <w:rPr>
          <w:iCs/>
          <w:sz w:val="20"/>
          <w:szCs w:val="20"/>
        </w:rPr>
        <w:t>at 183 (</w:t>
      </w:r>
      <w:r w:rsidRPr="00A04969">
        <w:rPr>
          <w:color w:val="343434"/>
          <w:sz w:val="20"/>
          <w:szCs w:val="20"/>
          <w:lang w:val="en-US"/>
        </w:rPr>
        <w:t xml:space="preserve">Larsen, J. and Fondahl, G., eds., </w:t>
      </w:r>
      <w:r w:rsidRPr="00A04969">
        <w:rPr>
          <w:iCs/>
          <w:sz w:val="20"/>
          <w:szCs w:val="20"/>
        </w:rPr>
        <w:t>2014).</w:t>
      </w:r>
    </w:p>
  </w:footnote>
  <w:footnote w:id="166">
    <w:p w14:paraId="1CD49927" w14:textId="77777777"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proofErr w:type="gramStart"/>
      <w:r w:rsidRPr="00A04969">
        <w:rPr>
          <w:rFonts w:ascii="Times New Roman" w:hAnsi="Times New Roman" w:cs="Times New Roman"/>
          <w:i/>
          <w:sz w:val="20"/>
          <w:szCs w:val="20"/>
        </w:rPr>
        <w:t>Id.</w:t>
      </w:r>
      <w:r w:rsidRPr="00A04969">
        <w:rPr>
          <w:rFonts w:ascii="Times New Roman" w:hAnsi="Times New Roman" w:cs="Times New Roman"/>
          <w:sz w:val="20"/>
          <w:szCs w:val="20"/>
        </w:rPr>
        <w:t xml:space="preserve"> at 184.</w:t>
      </w:r>
      <w:proofErr w:type="gramEnd"/>
    </w:p>
  </w:footnote>
  <w:footnote w:id="167">
    <w:p w14:paraId="23042883" w14:textId="6033922A"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r w:rsidRPr="00A04969">
        <w:rPr>
          <w:rFonts w:ascii="Times New Roman" w:hAnsi="Times New Roman" w:cs="Times New Roman"/>
          <w:i/>
          <w:sz w:val="20"/>
          <w:szCs w:val="20"/>
        </w:rPr>
        <w:t>Id.</w:t>
      </w:r>
      <w:r w:rsidRPr="00A04969">
        <w:rPr>
          <w:rFonts w:ascii="Times New Roman" w:hAnsi="Times New Roman" w:cs="Times New Roman"/>
          <w:sz w:val="20"/>
          <w:szCs w:val="20"/>
        </w:rPr>
        <w:t xml:space="preserve"> </w:t>
      </w:r>
    </w:p>
  </w:footnote>
  <w:footnote w:id="168">
    <w:p w14:paraId="5C6358E6" w14:textId="0101D639"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proofErr w:type="gramStart"/>
      <w:r w:rsidRPr="00A04969">
        <w:rPr>
          <w:rFonts w:ascii="Times New Roman" w:hAnsi="Times New Roman" w:cs="Times New Roman"/>
          <w:sz w:val="20"/>
          <w:szCs w:val="20"/>
        </w:rPr>
        <w:t xml:space="preserve">ILO 169 Handbook, </w:t>
      </w:r>
      <w:r w:rsidRPr="00A04969">
        <w:rPr>
          <w:rFonts w:ascii="Times New Roman" w:hAnsi="Times New Roman" w:cs="Times New Roman"/>
          <w:i/>
          <w:sz w:val="20"/>
          <w:szCs w:val="20"/>
        </w:rPr>
        <w:t>supra</w:t>
      </w:r>
      <w:r w:rsidRPr="00A04969">
        <w:rPr>
          <w:rFonts w:ascii="Times New Roman" w:hAnsi="Times New Roman" w:cs="Times New Roman"/>
          <w:sz w:val="20"/>
          <w:szCs w:val="20"/>
        </w:rPr>
        <w:t xml:space="preserve"> n. </w:t>
      </w:r>
      <w:r w:rsidRPr="00A04969">
        <w:rPr>
          <w:rFonts w:ascii="Times New Roman" w:hAnsi="Times New Roman" w:cs="Times New Roman"/>
          <w:sz w:val="20"/>
          <w:szCs w:val="20"/>
        </w:rPr>
        <w:fldChar w:fldCharType="begin"/>
      </w:r>
      <w:r w:rsidRPr="00A04969">
        <w:rPr>
          <w:rFonts w:ascii="Times New Roman" w:hAnsi="Times New Roman" w:cs="Times New Roman"/>
          <w:sz w:val="20"/>
          <w:szCs w:val="20"/>
        </w:rPr>
        <w:instrText xml:space="preserve"> NOTEREF _Ref333349219 \h </w:instrText>
      </w:r>
      <w:r w:rsidRPr="00A04969">
        <w:rPr>
          <w:rFonts w:ascii="Times New Roman" w:hAnsi="Times New Roman" w:cs="Times New Roman"/>
          <w:sz w:val="20"/>
          <w:szCs w:val="20"/>
        </w:rPr>
      </w:r>
      <w:r w:rsidRPr="00A04969">
        <w:rPr>
          <w:rFonts w:ascii="Times New Roman" w:hAnsi="Times New Roman" w:cs="Times New Roman"/>
          <w:sz w:val="20"/>
          <w:szCs w:val="20"/>
        </w:rPr>
        <w:fldChar w:fldCharType="separate"/>
      </w:r>
      <w:r>
        <w:rPr>
          <w:rFonts w:ascii="Times New Roman" w:hAnsi="Times New Roman" w:cs="Times New Roman"/>
          <w:sz w:val="20"/>
          <w:szCs w:val="20"/>
        </w:rPr>
        <w:t>95</w:t>
      </w:r>
      <w:r w:rsidRPr="00A04969">
        <w:rPr>
          <w:rFonts w:ascii="Times New Roman" w:hAnsi="Times New Roman" w:cs="Times New Roman"/>
          <w:sz w:val="20"/>
          <w:szCs w:val="20"/>
        </w:rPr>
        <w:fldChar w:fldCharType="end"/>
      </w:r>
      <w:r w:rsidRPr="00A04969">
        <w:rPr>
          <w:rFonts w:ascii="Times New Roman" w:hAnsi="Times New Roman" w:cs="Times New Roman"/>
          <w:sz w:val="20"/>
          <w:szCs w:val="20"/>
        </w:rPr>
        <w:t xml:space="preserve"> at 14.</w:t>
      </w:r>
      <w:proofErr w:type="gramEnd"/>
    </w:p>
  </w:footnote>
  <w:footnote w:id="169">
    <w:p w14:paraId="7192FE08" w14:textId="6AEEDD02"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proofErr w:type="gramStart"/>
      <w:r w:rsidRPr="00A04969">
        <w:rPr>
          <w:rFonts w:ascii="Times New Roman" w:hAnsi="Times New Roman" w:cs="Times New Roman"/>
          <w:sz w:val="20"/>
          <w:szCs w:val="20"/>
        </w:rPr>
        <w:t xml:space="preserve">Global Compact Good Practice, </w:t>
      </w:r>
      <w:r w:rsidRPr="00A04969">
        <w:rPr>
          <w:rFonts w:ascii="Times New Roman" w:hAnsi="Times New Roman" w:cs="Times New Roman"/>
          <w:i/>
          <w:sz w:val="20"/>
          <w:szCs w:val="20"/>
        </w:rPr>
        <w:t>supra</w:t>
      </w:r>
      <w:r w:rsidRPr="00A04969">
        <w:rPr>
          <w:rFonts w:ascii="Times New Roman" w:hAnsi="Times New Roman" w:cs="Times New Roman"/>
          <w:sz w:val="20"/>
          <w:szCs w:val="20"/>
        </w:rPr>
        <w:t xml:space="preserve"> n. </w:t>
      </w:r>
      <w:r w:rsidRPr="00A04969">
        <w:rPr>
          <w:rFonts w:ascii="Times New Roman" w:hAnsi="Times New Roman" w:cs="Times New Roman"/>
          <w:sz w:val="20"/>
          <w:szCs w:val="20"/>
        </w:rPr>
        <w:fldChar w:fldCharType="begin"/>
      </w:r>
      <w:r w:rsidRPr="00A04969">
        <w:rPr>
          <w:rFonts w:ascii="Times New Roman" w:hAnsi="Times New Roman" w:cs="Times New Roman"/>
          <w:sz w:val="20"/>
          <w:szCs w:val="20"/>
        </w:rPr>
        <w:instrText xml:space="preserve"> NOTEREF _Ref334080159 \h </w:instrText>
      </w:r>
      <w:r w:rsidRPr="00A04969">
        <w:rPr>
          <w:rFonts w:ascii="Times New Roman" w:hAnsi="Times New Roman" w:cs="Times New Roman"/>
          <w:sz w:val="20"/>
          <w:szCs w:val="20"/>
        </w:rPr>
      </w:r>
      <w:r w:rsidRPr="00A04969">
        <w:rPr>
          <w:rFonts w:ascii="Times New Roman" w:hAnsi="Times New Roman" w:cs="Times New Roman"/>
          <w:sz w:val="20"/>
          <w:szCs w:val="20"/>
        </w:rPr>
        <w:fldChar w:fldCharType="separate"/>
      </w:r>
      <w:r>
        <w:rPr>
          <w:rFonts w:ascii="Times New Roman" w:hAnsi="Times New Roman" w:cs="Times New Roman"/>
          <w:sz w:val="20"/>
          <w:szCs w:val="20"/>
        </w:rPr>
        <w:t>40</w:t>
      </w:r>
      <w:r w:rsidRPr="00A04969">
        <w:rPr>
          <w:rFonts w:ascii="Times New Roman" w:hAnsi="Times New Roman" w:cs="Times New Roman"/>
          <w:sz w:val="20"/>
          <w:szCs w:val="20"/>
        </w:rPr>
        <w:fldChar w:fldCharType="end"/>
      </w:r>
      <w:r w:rsidRPr="00A04969">
        <w:rPr>
          <w:rFonts w:ascii="Times New Roman" w:hAnsi="Times New Roman" w:cs="Times New Roman"/>
          <w:sz w:val="20"/>
          <w:szCs w:val="20"/>
        </w:rPr>
        <w:t xml:space="preserve"> at 12.</w:t>
      </w:r>
      <w:proofErr w:type="gramEnd"/>
    </w:p>
  </w:footnote>
  <w:footnote w:id="170">
    <w:p w14:paraId="2F286DF2" w14:textId="112FFECB"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r w:rsidRPr="00A04969">
        <w:rPr>
          <w:rFonts w:ascii="Times New Roman" w:hAnsi="Times New Roman" w:cs="Times New Roman"/>
          <w:color w:val="1A1A1A"/>
          <w:sz w:val="20"/>
          <w:szCs w:val="20"/>
        </w:rPr>
        <w:t xml:space="preserve">Akwé Kon: Voluntary Guidelines, </w:t>
      </w:r>
      <w:r w:rsidRPr="00A04969">
        <w:rPr>
          <w:rFonts w:ascii="Times New Roman" w:hAnsi="Times New Roman" w:cs="Times New Roman"/>
          <w:i/>
          <w:color w:val="1A1A1A"/>
          <w:sz w:val="20"/>
          <w:szCs w:val="20"/>
        </w:rPr>
        <w:t>supra</w:t>
      </w:r>
      <w:r w:rsidRPr="00A04969">
        <w:rPr>
          <w:rFonts w:ascii="Times New Roman" w:hAnsi="Times New Roman" w:cs="Times New Roman"/>
          <w:color w:val="1A1A1A"/>
          <w:sz w:val="20"/>
          <w:szCs w:val="20"/>
        </w:rPr>
        <w:t xml:space="preserve"> n. </w:t>
      </w:r>
      <w:r w:rsidRPr="00A04969">
        <w:rPr>
          <w:rFonts w:ascii="Times New Roman" w:hAnsi="Times New Roman" w:cs="Times New Roman"/>
          <w:color w:val="1A1A1A"/>
          <w:sz w:val="20"/>
          <w:szCs w:val="20"/>
        </w:rPr>
        <w:fldChar w:fldCharType="begin"/>
      </w:r>
      <w:r w:rsidRPr="00A04969">
        <w:rPr>
          <w:rFonts w:ascii="Times New Roman" w:hAnsi="Times New Roman" w:cs="Times New Roman"/>
          <w:color w:val="1A1A1A"/>
          <w:sz w:val="20"/>
          <w:szCs w:val="20"/>
        </w:rPr>
        <w:instrText xml:space="preserve"> NOTEREF _Ref333348796 \h </w:instrText>
      </w:r>
      <w:r w:rsidRPr="00A04969">
        <w:rPr>
          <w:rFonts w:ascii="Times New Roman" w:hAnsi="Times New Roman" w:cs="Times New Roman"/>
          <w:color w:val="1A1A1A"/>
          <w:sz w:val="20"/>
          <w:szCs w:val="20"/>
        </w:rPr>
      </w:r>
      <w:r w:rsidRPr="00A04969">
        <w:rPr>
          <w:rFonts w:ascii="Times New Roman" w:hAnsi="Times New Roman" w:cs="Times New Roman"/>
          <w:color w:val="1A1A1A"/>
          <w:sz w:val="20"/>
          <w:szCs w:val="20"/>
        </w:rPr>
        <w:fldChar w:fldCharType="separate"/>
      </w:r>
      <w:r>
        <w:rPr>
          <w:rFonts w:ascii="Times New Roman" w:hAnsi="Times New Roman" w:cs="Times New Roman"/>
          <w:color w:val="1A1A1A"/>
          <w:sz w:val="20"/>
          <w:szCs w:val="20"/>
        </w:rPr>
        <w:t>13</w:t>
      </w:r>
      <w:r w:rsidRPr="00A04969">
        <w:rPr>
          <w:rFonts w:ascii="Times New Roman" w:hAnsi="Times New Roman" w:cs="Times New Roman"/>
          <w:color w:val="1A1A1A"/>
          <w:sz w:val="20"/>
          <w:szCs w:val="20"/>
        </w:rPr>
        <w:fldChar w:fldCharType="end"/>
      </w:r>
      <w:r w:rsidRPr="00A04969">
        <w:rPr>
          <w:rFonts w:ascii="Times New Roman" w:hAnsi="Times New Roman" w:cs="Times New Roman"/>
          <w:color w:val="1A1A1A"/>
          <w:sz w:val="20"/>
          <w:szCs w:val="20"/>
        </w:rPr>
        <w:t xml:space="preserve"> at 21.</w:t>
      </w:r>
    </w:p>
  </w:footnote>
  <w:footnote w:id="171">
    <w:p w14:paraId="23D1C09A" w14:textId="13542052"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proofErr w:type="gramStart"/>
      <w:r w:rsidRPr="00A04969">
        <w:rPr>
          <w:rFonts w:ascii="Times New Roman" w:hAnsi="Times New Roman" w:cs="Times New Roman"/>
          <w:sz w:val="20"/>
          <w:szCs w:val="20"/>
        </w:rPr>
        <w:t xml:space="preserve">IFC Good Practice Handbook, </w:t>
      </w:r>
      <w:r w:rsidRPr="00A04969">
        <w:rPr>
          <w:rFonts w:ascii="Times New Roman" w:hAnsi="Times New Roman" w:cs="Times New Roman"/>
          <w:i/>
          <w:sz w:val="20"/>
          <w:szCs w:val="20"/>
        </w:rPr>
        <w:t>supra</w:t>
      </w:r>
      <w:r w:rsidRPr="00A04969">
        <w:rPr>
          <w:rFonts w:ascii="Times New Roman" w:hAnsi="Times New Roman" w:cs="Times New Roman"/>
          <w:sz w:val="20"/>
          <w:szCs w:val="20"/>
        </w:rPr>
        <w:t xml:space="preserve"> n. </w:t>
      </w:r>
      <w:r w:rsidRPr="00A04969">
        <w:rPr>
          <w:rFonts w:ascii="Times New Roman" w:hAnsi="Times New Roman" w:cs="Times New Roman"/>
          <w:sz w:val="20"/>
          <w:szCs w:val="20"/>
        </w:rPr>
        <w:fldChar w:fldCharType="begin"/>
      </w:r>
      <w:r w:rsidRPr="00A04969">
        <w:rPr>
          <w:rFonts w:ascii="Times New Roman" w:hAnsi="Times New Roman" w:cs="Times New Roman"/>
          <w:sz w:val="20"/>
          <w:szCs w:val="20"/>
        </w:rPr>
        <w:instrText xml:space="preserve"> NOTEREF _Ref334083573 \h </w:instrText>
      </w:r>
      <w:r w:rsidRPr="00A04969">
        <w:rPr>
          <w:rFonts w:ascii="Times New Roman" w:hAnsi="Times New Roman" w:cs="Times New Roman"/>
          <w:sz w:val="20"/>
          <w:szCs w:val="20"/>
        </w:rPr>
      </w:r>
      <w:r w:rsidRPr="00A04969">
        <w:rPr>
          <w:rFonts w:ascii="Times New Roman" w:hAnsi="Times New Roman" w:cs="Times New Roman"/>
          <w:sz w:val="20"/>
          <w:szCs w:val="20"/>
        </w:rPr>
        <w:fldChar w:fldCharType="separate"/>
      </w:r>
      <w:r>
        <w:rPr>
          <w:rFonts w:ascii="Times New Roman" w:hAnsi="Times New Roman" w:cs="Times New Roman"/>
          <w:sz w:val="20"/>
          <w:szCs w:val="20"/>
        </w:rPr>
        <w:t>53</w:t>
      </w:r>
      <w:r w:rsidRPr="00A04969">
        <w:rPr>
          <w:rFonts w:ascii="Times New Roman" w:hAnsi="Times New Roman" w:cs="Times New Roman"/>
          <w:sz w:val="20"/>
          <w:szCs w:val="20"/>
        </w:rPr>
        <w:fldChar w:fldCharType="end"/>
      </w:r>
      <w:r w:rsidRPr="00A04969">
        <w:rPr>
          <w:rFonts w:ascii="Times New Roman" w:hAnsi="Times New Roman" w:cs="Times New Roman"/>
          <w:sz w:val="20"/>
          <w:szCs w:val="20"/>
        </w:rPr>
        <w:t xml:space="preserve"> at 57-60; </w:t>
      </w:r>
      <w:proofErr w:type="spellStart"/>
      <w:r w:rsidRPr="00A04969">
        <w:rPr>
          <w:rFonts w:ascii="Times New Roman" w:hAnsi="Times New Roman" w:cs="Times New Roman"/>
          <w:sz w:val="20"/>
          <w:szCs w:val="20"/>
        </w:rPr>
        <w:t>Hipwell</w:t>
      </w:r>
      <w:proofErr w:type="spellEnd"/>
      <w:r w:rsidRPr="00A04969">
        <w:rPr>
          <w:rFonts w:ascii="Times New Roman" w:hAnsi="Times New Roman" w:cs="Times New Roman"/>
          <w:sz w:val="20"/>
          <w:szCs w:val="20"/>
        </w:rPr>
        <w:t xml:space="preserve">, </w:t>
      </w:r>
      <w:r w:rsidRPr="00A04969">
        <w:rPr>
          <w:rFonts w:ascii="Times New Roman" w:hAnsi="Times New Roman" w:cs="Times New Roman"/>
          <w:i/>
          <w:sz w:val="20"/>
          <w:szCs w:val="20"/>
        </w:rPr>
        <w:t>supra</w:t>
      </w:r>
      <w:r w:rsidRPr="00A04969">
        <w:rPr>
          <w:rFonts w:ascii="Times New Roman" w:hAnsi="Times New Roman" w:cs="Times New Roman"/>
          <w:sz w:val="20"/>
          <w:szCs w:val="20"/>
        </w:rPr>
        <w:t xml:space="preserve"> n. </w:t>
      </w:r>
      <w:r w:rsidRPr="00A04969">
        <w:rPr>
          <w:rFonts w:ascii="Times New Roman" w:hAnsi="Times New Roman" w:cs="Times New Roman"/>
          <w:sz w:val="20"/>
          <w:szCs w:val="20"/>
        </w:rPr>
        <w:fldChar w:fldCharType="begin"/>
      </w:r>
      <w:r w:rsidRPr="00A04969">
        <w:rPr>
          <w:rFonts w:ascii="Times New Roman" w:hAnsi="Times New Roman" w:cs="Times New Roman"/>
          <w:sz w:val="20"/>
          <w:szCs w:val="20"/>
        </w:rPr>
        <w:instrText xml:space="preserve"> NOTEREF _Ref333568407 </w:instrText>
      </w:r>
      <w:r w:rsidRPr="00A04969">
        <w:rPr>
          <w:rFonts w:ascii="Times New Roman" w:hAnsi="Times New Roman" w:cs="Times New Roman"/>
          <w:sz w:val="20"/>
          <w:szCs w:val="20"/>
        </w:rPr>
        <w:fldChar w:fldCharType="separate"/>
      </w:r>
      <w:r>
        <w:rPr>
          <w:rFonts w:ascii="Times New Roman" w:hAnsi="Times New Roman" w:cs="Times New Roman"/>
          <w:sz w:val="20"/>
          <w:szCs w:val="20"/>
        </w:rPr>
        <w:t>129</w:t>
      </w:r>
      <w:r w:rsidRPr="00A04969">
        <w:rPr>
          <w:rFonts w:ascii="Times New Roman" w:hAnsi="Times New Roman" w:cs="Times New Roman"/>
          <w:sz w:val="20"/>
          <w:szCs w:val="20"/>
        </w:rPr>
        <w:fldChar w:fldCharType="end"/>
      </w:r>
      <w:r w:rsidRPr="00A04969">
        <w:rPr>
          <w:rFonts w:ascii="Times New Roman" w:hAnsi="Times New Roman" w:cs="Times New Roman"/>
          <w:sz w:val="20"/>
          <w:szCs w:val="20"/>
        </w:rPr>
        <w:t xml:space="preserve"> (discussing recommendations of </w:t>
      </w:r>
      <w:proofErr w:type="spellStart"/>
      <w:r w:rsidRPr="00A04969">
        <w:rPr>
          <w:rFonts w:ascii="Times New Roman" w:hAnsi="Times New Roman" w:cs="Times New Roman"/>
          <w:color w:val="262626"/>
          <w:sz w:val="20"/>
          <w:szCs w:val="20"/>
        </w:rPr>
        <w:t>Tongamiut</w:t>
      </w:r>
      <w:proofErr w:type="spellEnd"/>
      <w:r w:rsidRPr="00A04969">
        <w:rPr>
          <w:rFonts w:ascii="Times New Roman" w:hAnsi="Times New Roman" w:cs="Times New Roman"/>
          <w:color w:val="262626"/>
          <w:sz w:val="20"/>
          <w:szCs w:val="20"/>
        </w:rPr>
        <w:t xml:space="preserve"> Inuit </w:t>
      </w:r>
      <w:proofErr w:type="spellStart"/>
      <w:r w:rsidRPr="00A04969">
        <w:rPr>
          <w:rFonts w:ascii="Times New Roman" w:hAnsi="Times New Roman" w:cs="Times New Roman"/>
          <w:color w:val="262626"/>
          <w:sz w:val="20"/>
          <w:szCs w:val="20"/>
        </w:rPr>
        <w:t>Annait</w:t>
      </w:r>
      <w:proofErr w:type="spellEnd"/>
      <w:r w:rsidRPr="00A04969">
        <w:rPr>
          <w:rFonts w:ascii="Times New Roman" w:hAnsi="Times New Roman" w:cs="Times New Roman"/>
          <w:color w:val="262626"/>
          <w:sz w:val="20"/>
          <w:szCs w:val="20"/>
        </w:rPr>
        <w:t xml:space="preserve"> Ad Hoc Committee on Aboriginal Women and Mining in Labrador).</w:t>
      </w:r>
      <w:proofErr w:type="gramEnd"/>
    </w:p>
  </w:footnote>
  <w:footnote w:id="172">
    <w:p w14:paraId="76C08B67" w14:textId="77777777" w:rsidR="00D43BBB" w:rsidRPr="00A04969" w:rsidRDefault="00D43BBB" w:rsidP="002420B7">
      <w:pPr>
        <w:widowControl w:val="0"/>
        <w:autoSpaceDE w:val="0"/>
        <w:autoSpaceDN w:val="0"/>
        <w:adjustRightInd w:val="0"/>
        <w:rPr>
          <w:sz w:val="20"/>
          <w:szCs w:val="20"/>
        </w:rPr>
      </w:pPr>
      <w:r w:rsidRPr="00A04969">
        <w:rPr>
          <w:rStyle w:val="FootnoteReference"/>
          <w:sz w:val="20"/>
          <w:szCs w:val="20"/>
        </w:rPr>
        <w:footnoteRef/>
      </w:r>
      <w:r w:rsidRPr="00A04969">
        <w:rPr>
          <w:sz w:val="20"/>
          <w:szCs w:val="20"/>
        </w:rPr>
        <w:t xml:space="preserve"> </w:t>
      </w:r>
      <w:proofErr w:type="gramStart"/>
      <w:r w:rsidRPr="00A04969">
        <w:rPr>
          <w:iCs/>
          <w:sz w:val="20"/>
          <w:szCs w:val="20"/>
        </w:rPr>
        <w:t>Declaration on the Protection of Arctic Environment</w:t>
      </w:r>
      <w:r w:rsidRPr="00A04969">
        <w:rPr>
          <w:sz w:val="20"/>
          <w:szCs w:val="20"/>
        </w:rPr>
        <w:t xml:space="preserve"> (June 14, 1991) [hereinafter AEPS Declaration].</w:t>
      </w:r>
      <w:proofErr w:type="gramEnd"/>
      <w:r w:rsidRPr="00A04969">
        <w:rPr>
          <w:sz w:val="20"/>
          <w:szCs w:val="20"/>
        </w:rPr>
        <w:t xml:space="preserve"> </w:t>
      </w:r>
    </w:p>
  </w:footnote>
  <w:footnote w:id="173">
    <w:p w14:paraId="1E3F6622" w14:textId="374D8BB8"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proofErr w:type="gramStart"/>
      <w:r w:rsidRPr="00A04969">
        <w:rPr>
          <w:rFonts w:ascii="Times New Roman" w:hAnsi="Times New Roman" w:cs="Times New Roman"/>
          <w:sz w:val="20"/>
          <w:szCs w:val="20"/>
        </w:rPr>
        <w:t>ILO No. 169 arts.</w:t>
      </w:r>
      <w:proofErr w:type="gramEnd"/>
      <w:r w:rsidRPr="00A04969">
        <w:rPr>
          <w:rFonts w:ascii="Times New Roman" w:hAnsi="Times New Roman" w:cs="Times New Roman"/>
          <w:sz w:val="20"/>
          <w:szCs w:val="20"/>
        </w:rPr>
        <w:t xml:space="preserve"> 6(1</w:t>
      </w:r>
      <w:proofErr w:type="gramStart"/>
      <w:r w:rsidRPr="00A04969">
        <w:rPr>
          <w:rFonts w:ascii="Times New Roman" w:hAnsi="Times New Roman" w:cs="Times New Roman"/>
          <w:sz w:val="20"/>
          <w:szCs w:val="20"/>
        </w:rPr>
        <w:t>)(</w:t>
      </w:r>
      <w:proofErr w:type="gramEnd"/>
      <w:r w:rsidRPr="00A04969">
        <w:rPr>
          <w:rFonts w:ascii="Times New Roman" w:hAnsi="Times New Roman" w:cs="Times New Roman"/>
          <w:sz w:val="20"/>
          <w:szCs w:val="20"/>
        </w:rPr>
        <w:t>a), 15(2), and 22(3).</w:t>
      </w:r>
    </w:p>
  </w:footnote>
  <w:footnote w:id="174">
    <w:p w14:paraId="37BDCD6F" w14:textId="6FBF1BA9"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Exec. </w:t>
      </w:r>
      <w:proofErr w:type="gramStart"/>
      <w:r w:rsidRPr="00A04969">
        <w:rPr>
          <w:rFonts w:ascii="Times New Roman" w:hAnsi="Times New Roman" w:cs="Times New Roman"/>
          <w:sz w:val="20"/>
          <w:szCs w:val="20"/>
        </w:rPr>
        <w:t xml:space="preserve">Order 13175, </w:t>
      </w:r>
      <w:r w:rsidRPr="00A04969">
        <w:rPr>
          <w:rFonts w:ascii="Times New Roman" w:hAnsi="Times New Roman" w:cs="Times New Roman"/>
          <w:i/>
          <w:sz w:val="20"/>
          <w:szCs w:val="20"/>
        </w:rPr>
        <w:t xml:space="preserve">supra </w:t>
      </w:r>
      <w:r w:rsidRPr="00A04969">
        <w:rPr>
          <w:rFonts w:ascii="Times New Roman" w:hAnsi="Times New Roman" w:cs="Times New Roman"/>
          <w:sz w:val="20"/>
          <w:szCs w:val="20"/>
        </w:rPr>
        <w:t xml:space="preserve">n. </w:t>
      </w:r>
      <w:r w:rsidRPr="00A04969">
        <w:rPr>
          <w:rFonts w:ascii="Times New Roman" w:hAnsi="Times New Roman" w:cs="Times New Roman"/>
          <w:sz w:val="20"/>
          <w:szCs w:val="20"/>
        </w:rPr>
        <w:fldChar w:fldCharType="begin"/>
      </w:r>
      <w:r w:rsidRPr="00A04969">
        <w:rPr>
          <w:rFonts w:ascii="Times New Roman" w:hAnsi="Times New Roman" w:cs="Times New Roman"/>
          <w:sz w:val="20"/>
          <w:szCs w:val="20"/>
        </w:rPr>
        <w:instrText xml:space="preserve"> NOTEREF _Ref333993101 \h </w:instrText>
      </w:r>
      <w:r w:rsidRPr="00A04969">
        <w:rPr>
          <w:rFonts w:ascii="Times New Roman" w:hAnsi="Times New Roman" w:cs="Times New Roman"/>
          <w:sz w:val="20"/>
          <w:szCs w:val="20"/>
        </w:rPr>
      </w:r>
      <w:r w:rsidRPr="00A04969">
        <w:rPr>
          <w:rFonts w:ascii="Times New Roman" w:hAnsi="Times New Roman" w:cs="Times New Roman"/>
          <w:sz w:val="20"/>
          <w:szCs w:val="20"/>
        </w:rPr>
        <w:fldChar w:fldCharType="separate"/>
      </w:r>
      <w:r>
        <w:rPr>
          <w:rFonts w:ascii="Times New Roman" w:hAnsi="Times New Roman" w:cs="Times New Roman"/>
          <w:sz w:val="20"/>
          <w:szCs w:val="20"/>
        </w:rPr>
        <w:t>7</w:t>
      </w:r>
      <w:r w:rsidRPr="00A04969">
        <w:rPr>
          <w:rFonts w:ascii="Times New Roman" w:hAnsi="Times New Roman" w:cs="Times New Roman"/>
          <w:sz w:val="20"/>
          <w:szCs w:val="20"/>
        </w:rPr>
        <w:fldChar w:fldCharType="end"/>
      </w:r>
      <w:r w:rsidRPr="00A04969">
        <w:rPr>
          <w:rFonts w:ascii="Times New Roman" w:hAnsi="Times New Roman" w:cs="Times New Roman"/>
          <w:sz w:val="20"/>
          <w:szCs w:val="20"/>
        </w:rPr>
        <w:t>.</w:t>
      </w:r>
      <w:proofErr w:type="gramEnd"/>
    </w:p>
  </w:footnote>
  <w:footnote w:id="175">
    <w:p w14:paraId="25138CF7" w14:textId="746758A4"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r w:rsidRPr="00A04969">
        <w:rPr>
          <w:rFonts w:ascii="Times New Roman" w:eastAsia="Times New Roman" w:hAnsi="Times New Roman" w:cs="Times New Roman"/>
          <w:color w:val="000000"/>
          <w:sz w:val="20"/>
          <w:szCs w:val="20"/>
        </w:rPr>
        <w:t xml:space="preserve">Procedures for Consultations between State Authorities and </w:t>
      </w:r>
      <w:proofErr w:type="gramStart"/>
      <w:r w:rsidRPr="00A04969">
        <w:rPr>
          <w:rFonts w:ascii="Times New Roman" w:eastAsia="Times New Roman" w:hAnsi="Times New Roman" w:cs="Times New Roman"/>
          <w:color w:val="000000"/>
          <w:sz w:val="20"/>
          <w:szCs w:val="20"/>
        </w:rPr>
        <w:t>The</w:t>
      </w:r>
      <w:proofErr w:type="gramEnd"/>
      <w:r w:rsidRPr="00A04969">
        <w:rPr>
          <w:rFonts w:ascii="Times New Roman" w:eastAsia="Times New Roman" w:hAnsi="Times New Roman" w:cs="Times New Roman"/>
          <w:color w:val="000000"/>
          <w:sz w:val="20"/>
          <w:szCs w:val="20"/>
        </w:rPr>
        <w:t xml:space="preserve"> Saami Parliament (2005).</w:t>
      </w:r>
    </w:p>
  </w:footnote>
  <w:footnote w:id="176">
    <w:p w14:paraId="417735AE" w14:textId="2548E187"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proofErr w:type="gramStart"/>
      <w:r w:rsidRPr="00A04969">
        <w:rPr>
          <w:rFonts w:ascii="Times New Roman" w:hAnsi="Times New Roman" w:cs="Times New Roman"/>
          <w:sz w:val="20"/>
          <w:szCs w:val="20"/>
        </w:rPr>
        <w:t xml:space="preserve">IUCN Standard, </w:t>
      </w:r>
      <w:r w:rsidRPr="00A04969">
        <w:rPr>
          <w:rFonts w:ascii="Times New Roman" w:hAnsi="Times New Roman" w:cs="Times New Roman"/>
          <w:i/>
          <w:sz w:val="20"/>
          <w:szCs w:val="20"/>
        </w:rPr>
        <w:t>supra</w:t>
      </w:r>
      <w:r w:rsidRPr="00A04969">
        <w:rPr>
          <w:rFonts w:ascii="Times New Roman" w:hAnsi="Times New Roman" w:cs="Times New Roman"/>
          <w:sz w:val="20"/>
          <w:szCs w:val="20"/>
        </w:rPr>
        <w:t xml:space="preserve"> n. </w:t>
      </w:r>
      <w:r w:rsidRPr="00A04969">
        <w:rPr>
          <w:rFonts w:ascii="Times New Roman" w:hAnsi="Times New Roman" w:cs="Times New Roman"/>
          <w:sz w:val="20"/>
          <w:szCs w:val="20"/>
        </w:rPr>
        <w:fldChar w:fldCharType="begin"/>
      </w:r>
      <w:r w:rsidRPr="00A04969">
        <w:rPr>
          <w:rFonts w:ascii="Times New Roman" w:hAnsi="Times New Roman" w:cs="Times New Roman"/>
          <w:sz w:val="20"/>
          <w:szCs w:val="20"/>
        </w:rPr>
        <w:instrText xml:space="preserve"> NOTEREF _Ref334083973 \h </w:instrText>
      </w:r>
      <w:r w:rsidRPr="00A04969">
        <w:rPr>
          <w:rFonts w:ascii="Times New Roman" w:hAnsi="Times New Roman" w:cs="Times New Roman"/>
          <w:sz w:val="20"/>
          <w:szCs w:val="20"/>
        </w:rPr>
      </w:r>
      <w:r w:rsidRPr="00A04969">
        <w:rPr>
          <w:rFonts w:ascii="Times New Roman" w:hAnsi="Times New Roman" w:cs="Times New Roman"/>
          <w:sz w:val="20"/>
          <w:szCs w:val="20"/>
        </w:rPr>
        <w:fldChar w:fldCharType="separate"/>
      </w:r>
      <w:r>
        <w:rPr>
          <w:rFonts w:ascii="Times New Roman" w:hAnsi="Times New Roman" w:cs="Times New Roman"/>
          <w:sz w:val="20"/>
          <w:szCs w:val="20"/>
        </w:rPr>
        <w:t>59</w:t>
      </w:r>
      <w:r w:rsidRPr="00A04969">
        <w:rPr>
          <w:rFonts w:ascii="Times New Roman" w:hAnsi="Times New Roman" w:cs="Times New Roman"/>
          <w:sz w:val="20"/>
          <w:szCs w:val="20"/>
        </w:rPr>
        <w:fldChar w:fldCharType="end"/>
      </w:r>
      <w:r w:rsidRPr="00A04969">
        <w:rPr>
          <w:rFonts w:ascii="Times New Roman" w:hAnsi="Times New Roman" w:cs="Times New Roman"/>
          <w:sz w:val="20"/>
          <w:szCs w:val="20"/>
        </w:rPr>
        <w:t xml:space="preserve"> at 6.</w:t>
      </w:r>
      <w:proofErr w:type="gramEnd"/>
      <w:r w:rsidRPr="00A04969">
        <w:rPr>
          <w:rFonts w:ascii="Times New Roman" w:hAnsi="Times New Roman" w:cs="Times New Roman"/>
          <w:sz w:val="20"/>
          <w:szCs w:val="20"/>
        </w:rPr>
        <w:t xml:space="preserve"> </w:t>
      </w:r>
    </w:p>
  </w:footnote>
  <w:footnote w:id="177">
    <w:p w14:paraId="02CBDABA" w14:textId="5B425A2F" w:rsidR="00D43BBB" w:rsidRPr="00A04969" w:rsidRDefault="00D43BBB" w:rsidP="002420B7">
      <w:pPr>
        <w:rPr>
          <w:rFonts w:eastAsia="Times New Roman"/>
          <w:color w:val="000000"/>
          <w:sz w:val="20"/>
          <w:szCs w:val="20"/>
          <w:lang w:val="en-US"/>
        </w:rPr>
      </w:pPr>
      <w:r w:rsidRPr="00A04969">
        <w:rPr>
          <w:rStyle w:val="FootnoteReference"/>
          <w:sz w:val="20"/>
          <w:szCs w:val="20"/>
        </w:rPr>
        <w:footnoteRef/>
      </w:r>
      <w:r w:rsidRPr="00A04969">
        <w:rPr>
          <w:sz w:val="20"/>
          <w:szCs w:val="20"/>
        </w:rPr>
        <w:t xml:space="preserve"> </w:t>
      </w:r>
      <w:proofErr w:type="gramStart"/>
      <w:r w:rsidRPr="00A04969">
        <w:rPr>
          <w:rFonts w:eastAsia="Times New Roman"/>
          <w:color w:val="000000"/>
          <w:sz w:val="20"/>
          <w:szCs w:val="20"/>
          <w:lang w:val="en-US"/>
        </w:rPr>
        <w:t xml:space="preserve">IARPC Principles, </w:t>
      </w:r>
      <w:r w:rsidRPr="00A04969">
        <w:rPr>
          <w:rFonts w:eastAsia="Times New Roman"/>
          <w:i/>
          <w:color w:val="000000"/>
          <w:sz w:val="20"/>
          <w:szCs w:val="20"/>
          <w:lang w:val="en-US"/>
        </w:rPr>
        <w:t>supra</w:t>
      </w:r>
      <w:r w:rsidRPr="00A04969">
        <w:rPr>
          <w:rFonts w:eastAsia="Times New Roman"/>
          <w:color w:val="000000"/>
          <w:sz w:val="20"/>
          <w:szCs w:val="20"/>
          <w:lang w:val="en-US"/>
        </w:rPr>
        <w:t xml:space="preserve"> n. </w:t>
      </w:r>
      <w:r w:rsidRPr="00A04969">
        <w:rPr>
          <w:rFonts w:eastAsia="Times New Roman"/>
          <w:color w:val="000000"/>
          <w:sz w:val="20"/>
          <w:szCs w:val="20"/>
          <w:lang w:val="en-US"/>
        </w:rPr>
        <w:fldChar w:fldCharType="begin"/>
      </w:r>
      <w:r w:rsidRPr="00A04969">
        <w:rPr>
          <w:rFonts w:eastAsia="Times New Roman"/>
          <w:color w:val="000000"/>
          <w:sz w:val="20"/>
          <w:szCs w:val="20"/>
          <w:lang w:val="en-US"/>
        </w:rPr>
        <w:instrText xml:space="preserve"> NOTEREF _Ref334083103 \h </w:instrText>
      </w:r>
      <w:r w:rsidRPr="00A04969">
        <w:rPr>
          <w:rFonts w:eastAsia="Times New Roman"/>
          <w:color w:val="000000"/>
          <w:sz w:val="20"/>
          <w:szCs w:val="20"/>
          <w:lang w:val="en-US"/>
        </w:rPr>
      </w:r>
      <w:r w:rsidRPr="00A04969">
        <w:rPr>
          <w:rFonts w:eastAsia="Times New Roman"/>
          <w:color w:val="000000"/>
          <w:sz w:val="20"/>
          <w:szCs w:val="20"/>
          <w:lang w:val="en-US"/>
        </w:rPr>
        <w:fldChar w:fldCharType="separate"/>
      </w:r>
      <w:r>
        <w:rPr>
          <w:rFonts w:eastAsia="Times New Roman"/>
          <w:color w:val="000000"/>
          <w:sz w:val="20"/>
          <w:szCs w:val="20"/>
          <w:lang w:val="en-US"/>
        </w:rPr>
        <w:t>57</w:t>
      </w:r>
      <w:r w:rsidRPr="00A04969">
        <w:rPr>
          <w:rFonts w:eastAsia="Times New Roman"/>
          <w:color w:val="000000"/>
          <w:sz w:val="20"/>
          <w:szCs w:val="20"/>
          <w:lang w:val="en-US"/>
        </w:rPr>
        <w:fldChar w:fldCharType="end"/>
      </w:r>
      <w:r w:rsidRPr="00A04969">
        <w:rPr>
          <w:rFonts w:eastAsia="Times New Roman"/>
          <w:color w:val="000000"/>
          <w:sz w:val="20"/>
          <w:szCs w:val="20"/>
          <w:lang w:val="en-US"/>
        </w:rPr>
        <w:t>.</w:t>
      </w:r>
      <w:proofErr w:type="gramEnd"/>
    </w:p>
  </w:footnote>
  <w:footnote w:id="178">
    <w:p w14:paraId="6694BB18" w14:textId="7A1F9BF7"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proofErr w:type="gramStart"/>
      <w:r w:rsidRPr="00A04969">
        <w:rPr>
          <w:rFonts w:ascii="Times New Roman" w:eastAsia="Times New Roman" w:hAnsi="Times New Roman" w:cs="Times New Roman"/>
          <w:color w:val="000000"/>
          <w:sz w:val="20"/>
          <w:szCs w:val="20"/>
        </w:rPr>
        <w:t>GEF Principles</w:t>
      </w:r>
      <w:r w:rsidRPr="00A04969">
        <w:rPr>
          <w:rFonts w:ascii="Times New Roman" w:hAnsi="Times New Roman" w:cs="Times New Roman"/>
          <w:sz w:val="20"/>
          <w:szCs w:val="20"/>
        </w:rPr>
        <w:t xml:space="preserve">, </w:t>
      </w:r>
      <w:r w:rsidRPr="00A04969">
        <w:rPr>
          <w:rFonts w:ascii="Times New Roman" w:hAnsi="Times New Roman" w:cs="Times New Roman"/>
          <w:i/>
          <w:sz w:val="20"/>
          <w:szCs w:val="20"/>
        </w:rPr>
        <w:t>supra</w:t>
      </w:r>
      <w:r w:rsidRPr="00A04969">
        <w:rPr>
          <w:rFonts w:ascii="Times New Roman" w:hAnsi="Times New Roman" w:cs="Times New Roman"/>
          <w:sz w:val="20"/>
          <w:szCs w:val="20"/>
        </w:rPr>
        <w:t xml:space="preserve"> n. </w:t>
      </w:r>
      <w:r w:rsidRPr="00A04969">
        <w:rPr>
          <w:rFonts w:ascii="Times New Roman" w:hAnsi="Times New Roman" w:cs="Times New Roman"/>
          <w:sz w:val="20"/>
          <w:szCs w:val="20"/>
        </w:rPr>
        <w:fldChar w:fldCharType="begin"/>
      </w:r>
      <w:r w:rsidRPr="00A04969">
        <w:rPr>
          <w:rFonts w:ascii="Times New Roman" w:hAnsi="Times New Roman" w:cs="Times New Roman"/>
          <w:sz w:val="20"/>
          <w:szCs w:val="20"/>
        </w:rPr>
        <w:instrText xml:space="preserve"> NOTEREF _Ref334084149 \h </w:instrText>
      </w:r>
      <w:r w:rsidRPr="00A04969">
        <w:rPr>
          <w:rFonts w:ascii="Times New Roman" w:hAnsi="Times New Roman" w:cs="Times New Roman"/>
          <w:sz w:val="20"/>
          <w:szCs w:val="20"/>
        </w:rPr>
      </w:r>
      <w:r w:rsidRPr="00A04969">
        <w:rPr>
          <w:rFonts w:ascii="Times New Roman" w:hAnsi="Times New Roman" w:cs="Times New Roman"/>
          <w:sz w:val="20"/>
          <w:szCs w:val="20"/>
        </w:rPr>
        <w:fldChar w:fldCharType="separate"/>
      </w:r>
      <w:r>
        <w:rPr>
          <w:rFonts w:ascii="Times New Roman" w:hAnsi="Times New Roman" w:cs="Times New Roman"/>
          <w:sz w:val="20"/>
          <w:szCs w:val="20"/>
        </w:rPr>
        <w:t>52</w:t>
      </w:r>
      <w:r w:rsidRPr="00A04969">
        <w:rPr>
          <w:rFonts w:ascii="Times New Roman" w:hAnsi="Times New Roman" w:cs="Times New Roman"/>
          <w:sz w:val="20"/>
          <w:szCs w:val="20"/>
        </w:rPr>
        <w:fldChar w:fldCharType="end"/>
      </w:r>
      <w:r w:rsidRPr="00A04969">
        <w:rPr>
          <w:rFonts w:ascii="Times New Roman" w:hAnsi="Times New Roman" w:cs="Times New Roman"/>
          <w:sz w:val="20"/>
          <w:szCs w:val="20"/>
        </w:rPr>
        <w:t xml:space="preserve"> at 18.</w:t>
      </w:r>
      <w:proofErr w:type="gramEnd"/>
    </w:p>
  </w:footnote>
  <w:footnote w:id="179">
    <w:p w14:paraId="04780738" w14:textId="406A9905"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proofErr w:type="gramStart"/>
      <w:r w:rsidRPr="00A04969">
        <w:rPr>
          <w:rFonts w:ascii="Times New Roman" w:hAnsi="Times New Roman" w:cs="Times New Roman"/>
          <w:sz w:val="20"/>
          <w:szCs w:val="20"/>
        </w:rPr>
        <w:t xml:space="preserve">Ginoogaming Consultation Protocol, </w:t>
      </w:r>
      <w:r w:rsidRPr="00A04969">
        <w:rPr>
          <w:rFonts w:ascii="Times New Roman" w:hAnsi="Times New Roman" w:cs="Times New Roman"/>
          <w:i/>
          <w:sz w:val="20"/>
          <w:szCs w:val="20"/>
        </w:rPr>
        <w:t>supra</w:t>
      </w:r>
      <w:r w:rsidRPr="00A04969">
        <w:rPr>
          <w:rFonts w:ascii="Times New Roman" w:hAnsi="Times New Roman" w:cs="Times New Roman"/>
          <w:sz w:val="20"/>
          <w:szCs w:val="20"/>
        </w:rPr>
        <w:t xml:space="preserve"> n. </w:t>
      </w:r>
      <w:r w:rsidRPr="00A04969">
        <w:rPr>
          <w:rFonts w:ascii="Times New Roman" w:hAnsi="Times New Roman" w:cs="Times New Roman"/>
          <w:sz w:val="20"/>
          <w:szCs w:val="20"/>
        </w:rPr>
        <w:fldChar w:fldCharType="begin"/>
      </w:r>
      <w:r w:rsidRPr="00A04969">
        <w:rPr>
          <w:rFonts w:ascii="Times New Roman" w:hAnsi="Times New Roman" w:cs="Times New Roman"/>
          <w:sz w:val="20"/>
          <w:szCs w:val="20"/>
        </w:rPr>
        <w:instrText xml:space="preserve"> NOTEREF _Ref333999948 \h </w:instrText>
      </w:r>
      <w:r w:rsidRPr="00A04969">
        <w:rPr>
          <w:rFonts w:ascii="Times New Roman" w:hAnsi="Times New Roman" w:cs="Times New Roman"/>
          <w:sz w:val="20"/>
          <w:szCs w:val="20"/>
        </w:rPr>
      </w:r>
      <w:r w:rsidRPr="00A04969">
        <w:rPr>
          <w:rFonts w:ascii="Times New Roman" w:hAnsi="Times New Roman" w:cs="Times New Roman"/>
          <w:sz w:val="20"/>
          <w:szCs w:val="20"/>
        </w:rPr>
        <w:fldChar w:fldCharType="separate"/>
      </w:r>
      <w:r>
        <w:rPr>
          <w:rFonts w:ascii="Times New Roman" w:hAnsi="Times New Roman" w:cs="Times New Roman"/>
          <w:sz w:val="20"/>
          <w:szCs w:val="20"/>
        </w:rPr>
        <w:t>46</w:t>
      </w:r>
      <w:r w:rsidRPr="00A04969">
        <w:rPr>
          <w:rFonts w:ascii="Times New Roman" w:hAnsi="Times New Roman" w:cs="Times New Roman"/>
          <w:sz w:val="20"/>
          <w:szCs w:val="20"/>
        </w:rPr>
        <w:fldChar w:fldCharType="end"/>
      </w:r>
      <w:r w:rsidRPr="00A04969">
        <w:rPr>
          <w:rFonts w:ascii="Times New Roman" w:hAnsi="Times New Roman" w:cs="Times New Roman"/>
          <w:sz w:val="20"/>
          <w:szCs w:val="20"/>
        </w:rPr>
        <w:t xml:space="preserve"> at 6.</w:t>
      </w:r>
      <w:proofErr w:type="gramEnd"/>
    </w:p>
  </w:footnote>
  <w:footnote w:id="180">
    <w:p w14:paraId="5E9B41C4" w14:textId="2034CB1B" w:rsidR="00D43BBB" w:rsidRPr="00A04969" w:rsidRDefault="00D43BBB" w:rsidP="002420B7">
      <w:pPr>
        <w:widowControl w:val="0"/>
        <w:autoSpaceDE w:val="0"/>
        <w:autoSpaceDN w:val="0"/>
        <w:adjustRightInd w:val="0"/>
        <w:rPr>
          <w:sz w:val="20"/>
          <w:szCs w:val="20"/>
        </w:rPr>
      </w:pPr>
      <w:r w:rsidRPr="00A04969">
        <w:rPr>
          <w:rStyle w:val="FootnoteReference"/>
          <w:sz w:val="20"/>
          <w:szCs w:val="20"/>
        </w:rPr>
        <w:footnoteRef/>
      </w:r>
      <w:r w:rsidRPr="00A04969">
        <w:rPr>
          <w:sz w:val="20"/>
          <w:szCs w:val="20"/>
        </w:rPr>
        <w:t xml:space="preserve"> </w:t>
      </w:r>
      <w:proofErr w:type="gramStart"/>
      <w:r w:rsidRPr="00A04969">
        <w:rPr>
          <w:sz w:val="20"/>
          <w:szCs w:val="20"/>
        </w:rPr>
        <w:t xml:space="preserve">ELI Consultation Handbook, </w:t>
      </w:r>
      <w:r w:rsidRPr="00A04969">
        <w:rPr>
          <w:i/>
          <w:sz w:val="20"/>
          <w:szCs w:val="20"/>
        </w:rPr>
        <w:t>supra</w:t>
      </w:r>
      <w:r w:rsidRPr="00A04969">
        <w:rPr>
          <w:sz w:val="20"/>
          <w:szCs w:val="20"/>
        </w:rPr>
        <w:t xml:space="preserve"> n. </w:t>
      </w:r>
      <w:r w:rsidRPr="00A04969">
        <w:rPr>
          <w:sz w:val="20"/>
          <w:szCs w:val="20"/>
        </w:rPr>
        <w:fldChar w:fldCharType="begin"/>
      </w:r>
      <w:r w:rsidRPr="00A04969">
        <w:rPr>
          <w:sz w:val="20"/>
          <w:szCs w:val="20"/>
        </w:rPr>
        <w:instrText xml:space="preserve"> NOTEREF _Ref334001400 \h </w:instrText>
      </w:r>
      <w:r w:rsidRPr="00A04969">
        <w:rPr>
          <w:sz w:val="20"/>
          <w:szCs w:val="20"/>
        </w:rPr>
      </w:r>
      <w:r w:rsidRPr="00A04969">
        <w:rPr>
          <w:sz w:val="20"/>
          <w:szCs w:val="20"/>
        </w:rPr>
        <w:fldChar w:fldCharType="separate"/>
      </w:r>
      <w:r>
        <w:rPr>
          <w:sz w:val="20"/>
          <w:szCs w:val="20"/>
        </w:rPr>
        <w:t>127</w:t>
      </w:r>
      <w:r w:rsidRPr="00A04969">
        <w:rPr>
          <w:sz w:val="20"/>
          <w:szCs w:val="20"/>
        </w:rPr>
        <w:fldChar w:fldCharType="end"/>
      </w:r>
      <w:r w:rsidRPr="00A04969">
        <w:rPr>
          <w:sz w:val="20"/>
          <w:szCs w:val="20"/>
        </w:rPr>
        <w:t xml:space="preserve"> at 6.</w:t>
      </w:r>
      <w:proofErr w:type="gramEnd"/>
      <w:r w:rsidRPr="00A04969">
        <w:rPr>
          <w:sz w:val="20"/>
          <w:szCs w:val="20"/>
        </w:rPr>
        <w:t xml:space="preserve"> </w:t>
      </w:r>
    </w:p>
  </w:footnote>
  <w:footnote w:id="181">
    <w:p w14:paraId="0536D393" w14:textId="220C994F" w:rsidR="00D43BBB" w:rsidRPr="00A04969" w:rsidRDefault="00D43BBB" w:rsidP="002420B7">
      <w:pPr>
        <w:widowControl w:val="0"/>
        <w:autoSpaceDE w:val="0"/>
        <w:autoSpaceDN w:val="0"/>
        <w:adjustRightInd w:val="0"/>
        <w:rPr>
          <w:sz w:val="20"/>
          <w:szCs w:val="20"/>
        </w:rPr>
      </w:pPr>
      <w:r w:rsidRPr="00A04969">
        <w:rPr>
          <w:rStyle w:val="FootnoteReference"/>
          <w:sz w:val="20"/>
          <w:szCs w:val="20"/>
        </w:rPr>
        <w:footnoteRef/>
      </w:r>
      <w:r w:rsidRPr="00A04969">
        <w:rPr>
          <w:sz w:val="20"/>
          <w:szCs w:val="20"/>
        </w:rPr>
        <w:t xml:space="preserve"> Newman, </w:t>
      </w:r>
      <w:r w:rsidRPr="00A04969">
        <w:rPr>
          <w:i/>
          <w:sz w:val="20"/>
          <w:szCs w:val="20"/>
        </w:rPr>
        <w:t>supra</w:t>
      </w:r>
      <w:r w:rsidRPr="00A04969">
        <w:rPr>
          <w:sz w:val="20"/>
          <w:szCs w:val="20"/>
        </w:rPr>
        <w:t xml:space="preserve"> n. </w:t>
      </w:r>
      <w:r w:rsidRPr="00A04969">
        <w:rPr>
          <w:sz w:val="20"/>
          <w:szCs w:val="20"/>
        </w:rPr>
        <w:fldChar w:fldCharType="begin"/>
      </w:r>
      <w:r w:rsidRPr="00A04969">
        <w:rPr>
          <w:sz w:val="20"/>
          <w:szCs w:val="20"/>
        </w:rPr>
        <w:instrText xml:space="preserve"> NOTEREF _Ref334083840 \h </w:instrText>
      </w:r>
      <w:r w:rsidRPr="00A04969">
        <w:rPr>
          <w:sz w:val="20"/>
          <w:szCs w:val="20"/>
        </w:rPr>
      </w:r>
      <w:r w:rsidRPr="00A04969">
        <w:rPr>
          <w:sz w:val="20"/>
          <w:szCs w:val="20"/>
        </w:rPr>
        <w:fldChar w:fldCharType="separate"/>
      </w:r>
      <w:r>
        <w:rPr>
          <w:sz w:val="20"/>
          <w:szCs w:val="20"/>
        </w:rPr>
        <w:t>16</w:t>
      </w:r>
      <w:r w:rsidRPr="00A04969">
        <w:rPr>
          <w:sz w:val="20"/>
          <w:szCs w:val="20"/>
        </w:rPr>
        <w:fldChar w:fldCharType="end"/>
      </w:r>
      <w:r w:rsidRPr="00A04969">
        <w:rPr>
          <w:sz w:val="20"/>
          <w:szCs w:val="20"/>
        </w:rPr>
        <w:t xml:space="preserve"> at 481; </w:t>
      </w:r>
      <w:r w:rsidRPr="00A04969">
        <w:rPr>
          <w:sz w:val="20"/>
          <w:szCs w:val="20"/>
          <w:lang w:val="en-US"/>
        </w:rPr>
        <w:t xml:space="preserve">U.N. Human Rights Council, Report of the Special Rapporteur on the Rights of Indigenous Peoples, </w:t>
      </w:r>
      <w:r w:rsidRPr="00A04969">
        <w:rPr>
          <w:bCs/>
          <w:sz w:val="20"/>
          <w:szCs w:val="20"/>
          <w:lang w:val="en-US"/>
        </w:rPr>
        <w:t>Report of the Special Rapporteur on the Situation of Human Rights</w:t>
      </w:r>
      <w:r w:rsidRPr="00A04969">
        <w:rPr>
          <w:sz w:val="20"/>
          <w:szCs w:val="20"/>
          <w:lang w:val="en-US"/>
        </w:rPr>
        <w:t xml:space="preserve"> </w:t>
      </w:r>
      <w:r w:rsidRPr="00A04969">
        <w:rPr>
          <w:bCs/>
          <w:sz w:val="20"/>
          <w:szCs w:val="20"/>
          <w:lang w:val="en-US"/>
        </w:rPr>
        <w:t>and Fundamental Freedoms of Indigenous People</w:t>
      </w:r>
      <w:r w:rsidRPr="00A04969">
        <w:rPr>
          <w:sz w:val="20"/>
          <w:szCs w:val="20"/>
        </w:rPr>
        <w:t>, U.N. Doc A/HRC/12/34 (July 15, 2009) [hereinafter UNHRC 2009]</w:t>
      </w:r>
      <w:r w:rsidRPr="00A04969">
        <w:rPr>
          <w:color w:val="1F1F1F"/>
          <w:sz w:val="20"/>
          <w:szCs w:val="20"/>
        </w:rPr>
        <w:t xml:space="preserve">; </w:t>
      </w:r>
      <w:r w:rsidRPr="00A04969">
        <w:rPr>
          <w:sz w:val="20"/>
          <w:szCs w:val="20"/>
        </w:rPr>
        <w:t xml:space="preserve">Temagami Protocol, </w:t>
      </w:r>
      <w:r w:rsidRPr="00A04969">
        <w:rPr>
          <w:i/>
          <w:sz w:val="20"/>
          <w:szCs w:val="20"/>
        </w:rPr>
        <w:t>supra</w:t>
      </w:r>
      <w:r w:rsidRPr="00A04969">
        <w:rPr>
          <w:sz w:val="20"/>
          <w:szCs w:val="20"/>
        </w:rPr>
        <w:t xml:space="preserve"> n. </w:t>
      </w:r>
      <w:r w:rsidRPr="00A04969">
        <w:rPr>
          <w:sz w:val="20"/>
          <w:szCs w:val="20"/>
        </w:rPr>
        <w:fldChar w:fldCharType="begin"/>
      </w:r>
      <w:r w:rsidRPr="00A04969">
        <w:rPr>
          <w:sz w:val="20"/>
          <w:szCs w:val="20"/>
        </w:rPr>
        <w:instrText xml:space="preserve"> NOTEREF _Ref333349060 \h </w:instrText>
      </w:r>
      <w:r w:rsidRPr="00A04969">
        <w:rPr>
          <w:sz w:val="20"/>
          <w:szCs w:val="20"/>
        </w:rPr>
      </w:r>
      <w:r w:rsidRPr="00A04969">
        <w:rPr>
          <w:sz w:val="20"/>
          <w:szCs w:val="20"/>
        </w:rPr>
        <w:fldChar w:fldCharType="separate"/>
      </w:r>
      <w:r>
        <w:rPr>
          <w:sz w:val="20"/>
          <w:szCs w:val="20"/>
        </w:rPr>
        <w:t>100</w:t>
      </w:r>
      <w:r w:rsidRPr="00A04969">
        <w:rPr>
          <w:sz w:val="20"/>
          <w:szCs w:val="20"/>
        </w:rPr>
        <w:fldChar w:fldCharType="end"/>
      </w:r>
      <w:r w:rsidRPr="00A04969">
        <w:rPr>
          <w:sz w:val="20"/>
          <w:szCs w:val="20"/>
        </w:rPr>
        <w:t>, Step 5: Consultation Matrix.</w:t>
      </w:r>
    </w:p>
  </w:footnote>
  <w:footnote w:id="182">
    <w:p w14:paraId="235F59F0" w14:textId="6BBDE7F2" w:rsidR="00D43BBB" w:rsidRPr="00A04969" w:rsidRDefault="00D43BBB" w:rsidP="002420B7">
      <w:pPr>
        <w:pStyle w:val="NormalWeb"/>
        <w:spacing w:before="0" w:beforeAutospacing="0" w:after="0" w:afterAutospacing="0"/>
        <w:rPr>
          <w:rFonts w:ascii="Times New Roman" w:hAnsi="Times New Roman"/>
        </w:rPr>
      </w:pPr>
      <w:r w:rsidRPr="00A04969">
        <w:rPr>
          <w:rStyle w:val="FootnoteReference"/>
          <w:rFonts w:ascii="Times New Roman" w:hAnsi="Times New Roman"/>
        </w:rPr>
        <w:footnoteRef/>
      </w:r>
      <w:r w:rsidRPr="00A04969">
        <w:rPr>
          <w:rFonts w:ascii="Times New Roman" w:hAnsi="Times New Roman"/>
        </w:rPr>
        <w:t xml:space="preserve"> INAC Guidelines</w:t>
      </w:r>
      <w:r w:rsidRPr="00A04969">
        <w:rPr>
          <w:rFonts w:ascii="Times New Roman" w:hAnsi="Times New Roman"/>
          <w:bCs/>
        </w:rPr>
        <w:t xml:space="preserve">, </w:t>
      </w:r>
      <w:r w:rsidRPr="00A04969">
        <w:rPr>
          <w:rFonts w:ascii="Times New Roman" w:hAnsi="Times New Roman"/>
          <w:i/>
        </w:rPr>
        <w:t>supra</w:t>
      </w:r>
      <w:r w:rsidRPr="00A04969">
        <w:rPr>
          <w:rFonts w:ascii="Times New Roman" w:hAnsi="Times New Roman"/>
        </w:rPr>
        <w:t xml:space="preserve"> n. </w:t>
      </w:r>
      <w:r w:rsidRPr="00A04969">
        <w:rPr>
          <w:rFonts w:ascii="Times New Roman" w:hAnsi="Times New Roman"/>
        </w:rPr>
        <w:fldChar w:fldCharType="begin"/>
      </w:r>
      <w:r w:rsidRPr="00A04969">
        <w:rPr>
          <w:rFonts w:ascii="Times New Roman" w:hAnsi="Times New Roman"/>
        </w:rPr>
        <w:instrText xml:space="preserve"> NOTEREF _Ref334080771 \h </w:instrText>
      </w:r>
      <w:r w:rsidRPr="00A04969">
        <w:rPr>
          <w:rFonts w:ascii="Times New Roman" w:hAnsi="Times New Roman"/>
        </w:rPr>
      </w:r>
      <w:r w:rsidRPr="00A04969">
        <w:rPr>
          <w:rFonts w:ascii="Times New Roman" w:hAnsi="Times New Roman"/>
        </w:rPr>
        <w:fldChar w:fldCharType="separate"/>
      </w:r>
      <w:r>
        <w:rPr>
          <w:rFonts w:ascii="Times New Roman" w:hAnsi="Times New Roman"/>
        </w:rPr>
        <w:t>26</w:t>
      </w:r>
      <w:r w:rsidRPr="00A04969">
        <w:rPr>
          <w:rFonts w:ascii="Times New Roman" w:hAnsi="Times New Roman"/>
        </w:rPr>
        <w:fldChar w:fldCharType="end"/>
      </w:r>
      <w:r w:rsidRPr="00A04969">
        <w:rPr>
          <w:rFonts w:ascii="Times New Roman" w:hAnsi="Times New Roman"/>
        </w:rPr>
        <w:t xml:space="preserve"> </w:t>
      </w:r>
      <w:r w:rsidRPr="00A04969">
        <w:rPr>
          <w:rFonts w:ascii="Times New Roman" w:hAnsi="Times New Roman"/>
          <w:bCs/>
        </w:rPr>
        <w:t xml:space="preserve">at 43; </w:t>
      </w:r>
      <w:proofErr w:type="spellStart"/>
      <w:r w:rsidRPr="00A04969">
        <w:rPr>
          <w:rFonts w:ascii="Times New Roman" w:hAnsi="Times New Roman"/>
          <w:i/>
          <w:iCs/>
        </w:rPr>
        <w:t>Haida</w:t>
      </w:r>
      <w:proofErr w:type="spellEnd"/>
      <w:r w:rsidRPr="00A04969">
        <w:rPr>
          <w:rFonts w:ascii="Times New Roman" w:hAnsi="Times New Roman"/>
          <w:i/>
          <w:iCs/>
        </w:rPr>
        <w:t xml:space="preserve">, supra </w:t>
      </w:r>
      <w:r w:rsidRPr="00A04969">
        <w:rPr>
          <w:rFonts w:ascii="Times New Roman" w:hAnsi="Times New Roman"/>
          <w:iCs/>
        </w:rPr>
        <w:t xml:space="preserve">n. </w:t>
      </w:r>
      <w:r w:rsidRPr="00A04969">
        <w:rPr>
          <w:rFonts w:ascii="Times New Roman" w:hAnsi="Times New Roman"/>
          <w:iCs/>
        </w:rPr>
        <w:fldChar w:fldCharType="begin"/>
      </w:r>
      <w:r w:rsidRPr="00A04969">
        <w:rPr>
          <w:rFonts w:ascii="Times New Roman" w:hAnsi="Times New Roman"/>
          <w:iCs/>
        </w:rPr>
        <w:instrText xml:space="preserve"> NOTEREF _Ref334001561 \h </w:instrText>
      </w:r>
      <w:r w:rsidRPr="00A04969">
        <w:rPr>
          <w:rFonts w:ascii="Times New Roman" w:hAnsi="Times New Roman"/>
          <w:iCs/>
        </w:rPr>
      </w:r>
      <w:r w:rsidRPr="00A04969">
        <w:rPr>
          <w:rFonts w:ascii="Times New Roman" w:hAnsi="Times New Roman"/>
          <w:iCs/>
        </w:rPr>
        <w:fldChar w:fldCharType="separate"/>
      </w:r>
      <w:r>
        <w:rPr>
          <w:rFonts w:ascii="Times New Roman" w:hAnsi="Times New Roman"/>
          <w:iCs/>
        </w:rPr>
        <w:t>23</w:t>
      </w:r>
      <w:r w:rsidRPr="00A04969">
        <w:rPr>
          <w:rFonts w:ascii="Times New Roman" w:hAnsi="Times New Roman"/>
          <w:iCs/>
        </w:rPr>
        <w:fldChar w:fldCharType="end"/>
      </w:r>
      <w:r w:rsidRPr="00A04969">
        <w:rPr>
          <w:rFonts w:ascii="Times New Roman" w:hAnsi="Times New Roman"/>
          <w:iCs/>
        </w:rPr>
        <w:t xml:space="preserve">, </w:t>
      </w:r>
      <w:r w:rsidRPr="00A04969">
        <w:rPr>
          <w:rFonts w:ascii="Times New Roman" w:hAnsi="Times New Roman"/>
        </w:rPr>
        <w:t>¶¶ 43-45</w:t>
      </w:r>
      <w:r w:rsidRPr="00A04969">
        <w:rPr>
          <w:rFonts w:ascii="Times New Roman" w:hAnsi="Times New Roman"/>
          <w:iCs/>
        </w:rPr>
        <w:t>;</w:t>
      </w:r>
      <w:r w:rsidRPr="00A04969">
        <w:rPr>
          <w:rFonts w:ascii="Times New Roman" w:hAnsi="Times New Roman"/>
          <w:i/>
          <w:iCs/>
        </w:rPr>
        <w:t xml:space="preserve"> </w:t>
      </w:r>
      <w:r w:rsidRPr="00A04969">
        <w:rPr>
          <w:rFonts w:ascii="Times New Roman" w:hAnsi="Times New Roman"/>
          <w:iCs/>
        </w:rPr>
        <w:t>Guiding Principles</w:t>
      </w:r>
      <w:r w:rsidRPr="00A04969">
        <w:rPr>
          <w:rFonts w:ascii="Times New Roman" w:hAnsi="Times New Roman"/>
        </w:rPr>
        <w:t xml:space="preserve">, supra n. </w:t>
      </w:r>
      <w:r w:rsidRPr="00A04969">
        <w:rPr>
          <w:rFonts w:ascii="Times New Roman" w:hAnsi="Times New Roman"/>
        </w:rPr>
        <w:fldChar w:fldCharType="begin"/>
      </w:r>
      <w:r w:rsidRPr="00A04969">
        <w:rPr>
          <w:rFonts w:ascii="Times New Roman" w:hAnsi="Times New Roman"/>
        </w:rPr>
        <w:instrText xml:space="preserve"> NOTEREF _Ref333307740 \h </w:instrText>
      </w:r>
      <w:r w:rsidRPr="00A04969">
        <w:rPr>
          <w:rFonts w:ascii="Times New Roman" w:hAnsi="Times New Roman"/>
        </w:rPr>
      </w:r>
      <w:r w:rsidRPr="00A04969">
        <w:rPr>
          <w:rFonts w:ascii="Times New Roman" w:hAnsi="Times New Roman"/>
        </w:rPr>
        <w:fldChar w:fldCharType="separate"/>
      </w:r>
      <w:r>
        <w:rPr>
          <w:rFonts w:ascii="Times New Roman" w:hAnsi="Times New Roman"/>
        </w:rPr>
        <w:t>11</w:t>
      </w:r>
      <w:r w:rsidRPr="00A04969">
        <w:rPr>
          <w:rFonts w:ascii="Times New Roman" w:hAnsi="Times New Roman"/>
        </w:rPr>
        <w:fldChar w:fldCharType="end"/>
      </w:r>
      <w:r w:rsidRPr="00A04969">
        <w:rPr>
          <w:rFonts w:ascii="Times New Roman" w:hAnsi="Times New Roman"/>
        </w:rPr>
        <w:t xml:space="preserve"> ¶ 17(b) (“due diligence will vary in complexity with the size of the business enterprise, the risk of severe human rights impacts, and the nature and context of its operations.”); IFC Good Practice Handbook,</w:t>
      </w:r>
      <w:r w:rsidRPr="00A04969">
        <w:rPr>
          <w:rFonts w:ascii="Times New Roman" w:hAnsi="Times New Roman"/>
          <w:i/>
        </w:rPr>
        <w:t xml:space="preserve"> supra</w:t>
      </w:r>
      <w:r w:rsidRPr="00A04969">
        <w:rPr>
          <w:rFonts w:ascii="Times New Roman" w:hAnsi="Times New Roman"/>
        </w:rPr>
        <w:t xml:space="preserve"> n. </w:t>
      </w:r>
      <w:r w:rsidRPr="00A04969">
        <w:rPr>
          <w:rFonts w:ascii="Times New Roman" w:hAnsi="Times New Roman"/>
        </w:rPr>
        <w:fldChar w:fldCharType="begin"/>
      </w:r>
      <w:r w:rsidRPr="00A04969">
        <w:rPr>
          <w:rFonts w:ascii="Times New Roman" w:hAnsi="Times New Roman"/>
        </w:rPr>
        <w:instrText xml:space="preserve"> NOTEREF _Ref334083573 \h </w:instrText>
      </w:r>
      <w:r w:rsidRPr="00A04969">
        <w:rPr>
          <w:rFonts w:ascii="Times New Roman" w:hAnsi="Times New Roman"/>
        </w:rPr>
      </w:r>
      <w:r w:rsidRPr="00A04969">
        <w:rPr>
          <w:rFonts w:ascii="Times New Roman" w:hAnsi="Times New Roman"/>
        </w:rPr>
        <w:fldChar w:fldCharType="separate"/>
      </w:r>
      <w:r>
        <w:rPr>
          <w:rFonts w:ascii="Times New Roman" w:hAnsi="Times New Roman"/>
        </w:rPr>
        <w:t>53</w:t>
      </w:r>
      <w:r w:rsidRPr="00A04969">
        <w:rPr>
          <w:rFonts w:ascii="Times New Roman" w:hAnsi="Times New Roman"/>
        </w:rPr>
        <w:fldChar w:fldCharType="end"/>
      </w:r>
      <w:r w:rsidRPr="00A04969">
        <w:rPr>
          <w:rFonts w:ascii="Times New Roman" w:hAnsi="Times New Roman"/>
        </w:rPr>
        <w:t xml:space="preserve"> at 7.</w:t>
      </w:r>
    </w:p>
  </w:footnote>
  <w:footnote w:id="183">
    <w:p w14:paraId="0EB5A7FC" w14:textId="34DDFB6F"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r w:rsidRPr="00A04969">
        <w:rPr>
          <w:rFonts w:ascii="Times New Roman" w:hAnsi="Times New Roman" w:cs="Times New Roman"/>
          <w:i/>
          <w:sz w:val="20"/>
          <w:szCs w:val="20"/>
        </w:rPr>
        <w:t xml:space="preserve">See, e.g. </w:t>
      </w:r>
      <w:proofErr w:type="spellStart"/>
      <w:r w:rsidRPr="00A04969">
        <w:rPr>
          <w:rFonts w:ascii="Times New Roman" w:hAnsi="Times New Roman" w:cs="Times New Roman"/>
          <w:i/>
          <w:sz w:val="20"/>
          <w:szCs w:val="20"/>
        </w:rPr>
        <w:t>Mikisew</w:t>
      </w:r>
      <w:proofErr w:type="spellEnd"/>
      <w:r w:rsidRPr="00A04969">
        <w:rPr>
          <w:rFonts w:ascii="Times New Roman" w:hAnsi="Times New Roman" w:cs="Times New Roman"/>
          <w:i/>
          <w:sz w:val="20"/>
          <w:szCs w:val="20"/>
        </w:rPr>
        <w:t xml:space="preserve"> Cree First Nation v. Canada (Minister of Canadian Heritage)</w:t>
      </w:r>
      <w:r w:rsidRPr="00A04969">
        <w:rPr>
          <w:rFonts w:ascii="Times New Roman" w:hAnsi="Times New Roman" w:cs="Times New Roman"/>
          <w:sz w:val="20"/>
          <w:szCs w:val="20"/>
        </w:rPr>
        <w:t xml:space="preserve">, [2005] 3 SCR 388, 2005 </w:t>
      </w:r>
      <w:r w:rsidRPr="00A04969">
        <w:rPr>
          <w:rFonts w:ascii="Times New Roman" w:eastAsia="Times New Roman" w:hAnsi="Times New Roman" w:cs="Times New Roman"/>
          <w:color w:val="000000"/>
          <w:sz w:val="20"/>
          <w:szCs w:val="20"/>
        </w:rPr>
        <w:t xml:space="preserve">SCC 69 [hereinafter </w:t>
      </w:r>
      <w:proofErr w:type="spellStart"/>
      <w:r w:rsidRPr="00A04969">
        <w:rPr>
          <w:rFonts w:ascii="Times New Roman" w:eastAsia="Times New Roman" w:hAnsi="Times New Roman" w:cs="Times New Roman"/>
          <w:i/>
          <w:color w:val="000000"/>
          <w:sz w:val="20"/>
          <w:szCs w:val="20"/>
        </w:rPr>
        <w:t>Mikisew</w:t>
      </w:r>
      <w:proofErr w:type="spellEnd"/>
      <w:r w:rsidRPr="00A04969">
        <w:rPr>
          <w:rFonts w:ascii="Times New Roman" w:eastAsia="Times New Roman" w:hAnsi="Times New Roman" w:cs="Times New Roman"/>
          <w:color w:val="000000"/>
          <w:sz w:val="20"/>
          <w:szCs w:val="20"/>
        </w:rPr>
        <w:t>].</w:t>
      </w:r>
    </w:p>
  </w:footnote>
  <w:footnote w:id="184">
    <w:p w14:paraId="627CE876" w14:textId="75EF4F07" w:rsidR="00D43BBB" w:rsidRPr="00A04969" w:rsidRDefault="00D43BBB" w:rsidP="002420B7">
      <w:pPr>
        <w:widowControl w:val="0"/>
        <w:autoSpaceDE w:val="0"/>
        <w:autoSpaceDN w:val="0"/>
        <w:adjustRightInd w:val="0"/>
        <w:rPr>
          <w:sz w:val="20"/>
          <w:szCs w:val="20"/>
          <w:lang w:val="en-US"/>
        </w:rPr>
      </w:pPr>
      <w:r w:rsidRPr="00A04969">
        <w:rPr>
          <w:rStyle w:val="FootnoteReference"/>
          <w:sz w:val="20"/>
          <w:szCs w:val="20"/>
        </w:rPr>
        <w:footnoteRef/>
      </w:r>
      <w:r w:rsidRPr="00A04969">
        <w:rPr>
          <w:sz w:val="20"/>
          <w:szCs w:val="20"/>
        </w:rPr>
        <w:t xml:space="preserve"> ITK Guide for Researchers, </w:t>
      </w:r>
      <w:r w:rsidRPr="00A04969">
        <w:rPr>
          <w:i/>
          <w:sz w:val="20"/>
          <w:szCs w:val="20"/>
        </w:rPr>
        <w:t>supra</w:t>
      </w:r>
      <w:r w:rsidRPr="00A04969">
        <w:rPr>
          <w:sz w:val="20"/>
          <w:szCs w:val="20"/>
        </w:rPr>
        <w:t xml:space="preserve"> n. </w:t>
      </w:r>
      <w:r w:rsidRPr="00A04969">
        <w:rPr>
          <w:sz w:val="20"/>
          <w:szCs w:val="20"/>
        </w:rPr>
        <w:fldChar w:fldCharType="begin"/>
      </w:r>
      <w:r w:rsidRPr="00A04969">
        <w:rPr>
          <w:sz w:val="20"/>
          <w:szCs w:val="20"/>
        </w:rPr>
        <w:instrText xml:space="preserve"> NOTEREF _Ref333381119 </w:instrText>
      </w:r>
      <w:r w:rsidRPr="00A04969">
        <w:rPr>
          <w:sz w:val="20"/>
          <w:szCs w:val="20"/>
        </w:rPr>
        <w:fldChar w:fldCharType="separate"/>
      </w:r>
      <w:r>
        <w:rPr>
          <w:sz w:val="20"/>
          <w:szCs w:val="20"/>
        </w:rPr>
        <w:t>134</w:t>
      </w:r>
      <w:r w:rsidRPr="00A04969">
        <w:rPr>
          <w:sz w:val="20"/>
          <w:szCs w:val="20"/>
        </w:rPr>
        <w:fldChar w:fldCharType="end"/>
      </w:r>
      <w:r w:rsidRPr="00A04969">
        <w:rPr>
          <w:sz w:val="20"/>
          <w:szCs w:val="20"/>
        </w:rPr>
        <w:t>.</w:t>
      </w:r>
    </w:p>
  </w:footnote>
  <w:footnote w:id="185">
    <w:p w14:paraId="09844A9E" w14:textId="3BFEBE90"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proofErr w:type="gramStart"/>
      <w:r w:rsidRPr="00A04969">
        <w:rPr>
          <w:rFonts w:ascii="Times New Roman" w:hAnsi="Times New Roman" w:cs="Times New Roman"/>
          <w:sz w:val="20"/>
          <w:szCs w:val="20"/>
        </w:rPr>
        <w:t>Beaver Lake Cree Nation Process for Consultation at 6 (2012).</w:t>
      </w:r>
      <w:proofErr w:type="gramEnd"/>
    </w:p>
  </w:footnote>
  <w:footnote w:id="186">
    <w:p w14:paraId="49B2AB20" w14:textId="0DFDD485" w:rsidR="00D43BBB" w:rsidRPr="00A04969" w:rsidRDefault="00D43BBB" w:rsidP="002420B7">
      <w:pPr>
        <w:widowControl w:val="0"/>
        <w:autoSpaceDE w:val="0"/>
        <w:autoSpaceDN w:val="0"/>
        <w:adjustRightInd w:val="0"/>
        <w:rPr>
          <w:sz w:val="20"/>
          <w:szCs w:val="20"/>
        </w:rPr>
      </w:pPr>
      <w:r w:rsidRPr="00A04969">
        <w:rPr>
          <w:rStyle w:val="FootnoteReference"/>
          <w:sz w:val="20"/>
          <w:szCs w:val="20"/>
        </w:rPr>
        <w:footnoteRef/>
      </w:r>
      <w:r w:rsidRPr="00A04969">
        <w:rPr>
          <w:sz w:val="20"/>
          <w:szCs w:val="20"/>
        </w:rPr>
        <w:t xml:space="preserve"> </w:t>
      </w:r>
      <w:proofErr w:type="gramStart"/>
      <w:r w:rsidRPr="00A04969">
        <w:rPr>
          <w:sz w:val="20"/>
          <w:szCs w:val="20"/>
        </w:rPr>
        <w:t xml:space="preserve">Carrier </w:t>
      </w:r>
      <w:proofErr w:type="spellStart"/>
      <w:r w:rsidRPr="00A04969">
        <w:rPr>
          <w:sz w:val="20"/>
          <w:szCs w:val="20"/>
        </w:rPr>
        <w:t>Sekani</w:t>
      </w:r>
      <w:proofErr w:type="spellEnd"/>
      <w:r w:rsidRPr="00A04969">
        <w:rPr>
          <w:sz w:val="20"/>
          <w:szCs w:val="20"/>
        </w:rPr>
        <w:t xml:space="preserve"> Tribal Council Perspectives, </w:t>
      </w:r>
      <w:r w:rsidRPr="00A04969">
        <w:rPr>
          <w:i/>
          <w:sz w:val="20"/>
          <w:szCs w:val="20"/>
        </w:rPr>
        <w:t>supra</w:t>
      </w:r>
      <w:r w:rsidRPr="00A04969">
        <w:rPr>
          <w:sz w:val="20"/>
          <w:szCs w:val="20"/>
        </w:rPr>
        <w:t xml:space="preserve"> n. </w:t>
      </w:r>
      <w:r w:rsidRPr="00A04969">
        <w:rPr>
          <w:sz w:val="20"/>
          <w:szCs w:val="20"/>
        </w:rPr>
        <w:fldChar w:fldCharType="begin"/>
      </w:r>
      <w:r w:rsidRPr="00A04969">
        <w:rPr>
          <w:sz w:val="20"/>
          <w:szCs w:val="20"/>
        </w:rPr>
        <w:instrText xml:space="preserve"> NOTEREF _Ref334001649 \h </w:instrText>
      </w:r>
      <w:r w:rsidRPr="00A04969">
        <w:rPr>
          <w:sz w:val="20"/>
          <w:szCs w:val="20"/>
        </w:rPr>
      </w:r>
      <w:r w:rsidRPr="00A04969">
        <w:rPr>
          <w:sz w:val="20"/>
          <w:szCs w:val="20"/>
        </w:rPr>
        <w:fldChar w:fldCharType="separate"/>
      </w:r>
      <w:r>
        <w:rPr>
          <w:sz w:val="20"/>
          <w:szCs w:val="20"/>
        </w:rPr>
        <w:t>121</w:t>
      </w:r>
      <w:r w:rsidRPr="00A04969">
        <w:rPr>
          <w:sz w:val="20"/>
          <w:szCs w:val="20"/>
        </w:rPr>
        <w:fldChar w:fldCharType="end"/>
      </w:r>
      <w:r w:rsidRPr="00A04969">
        <w:rPr>
          <w:sz w:val="20"/>
          <w:szCs w:val="20"/>
        </w:rPr>
        <w:t xml:space="preserve"> at 3.</w:t>
      </w:r>
      <w:proofErr w:type="gramEnd"/>
      <w:r w:rsidRPr="00A04969">
        <w:rPr>
          <w:sz w:val="20"/>
          <w:szCs w:val="20"/>
        </w:rPr>
        <w:t xml:space="preserve"> </w:t>
      </w:r>
    </w:p>
  </w:footnote>
  <w:footnote w:id="187">
    <w:p w14:paraId="227F43F6" w14:textId="22B9EDF8"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proofErr w:type="gramStart"/>
      <w:r w:rsidRPr="00A04969">
        <w:rPr>
          <w:rFonts w:ascii="Times New Roman" w:hAnsi="Times New Roman" w:cs="Times New Roman"/>
          <w:sz w:val="20"/>
          <w:szCs w:val="20"/>
        </w:rPr>
        <w:t>Edmonson, E.</w:t>
      </w:r>
      <w:proofErr w:type="gramEnd"/>
    </w:p>
  </w:footnote>
  <w:footnote w:id="188">
    <w:p w14:paraId="40BB948A" w14:textId="54B03468"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proofErr w:type="gramStart"/>
      <w:r w:rsidRPr="00A04969">
        <w:rPr>
          <w:rFonts w:ascii="Times New Roman" w:hAnsi="Times New Roman" w:cs="Times New Roman"/>
          <w:sz w:val="20"/>
          <w:szCs w:val="20"/>
        </w:rPr>
        <w:t>Edmonson, E.</w:t>
      </w:r>
      <w:proofErr w:type="gramEnd"/>
      <w:r w:rsidRPr="00A04969">
        <w:rPr>
          <w:rFonts w:ascii="Times New Roman" w:hAnsi="Times New Roman" w:cs="Times New Roman"/>
          <w:sz w:val="20"/>
          <w:szCs w:val="20"/>
        </w:rPr>
        <w:t xml:space="preserve"> </w:t>
      </w:r>
    </w:p>
  </w:footnote>
  <w:footnote w:id="189">
    <w:p w14:paraId="63DF2D26" w14:textId="1C14DBC6" w:rsidR="00D43BBB" w:rsidRPr="00A04969" w:rsidRDefault="00D43BBB" w:rsidP="002420B7">
      <w:pPr>
        <w:widowControl w:val="0"/>
        <w:autoSpaceDE w:val="0"/>
        <w:autoSpaceDN w:val="0"/>
        <w:adjustRightInd w:val="0"/>
        <w:rPr>
          <w:sz w:val="20"/>
          <w:szCs w:val="20"/>
          <w:lang w:val="en-US"/>
        </w:rPr>
      </w:pPr>
      <w:r w:rsidRPr="00A04969">
        <w:rPr>
          <w:rStyle w:val="FootnoteReference"/>
          <w:sz w:val="20"/>
          <w:szCs w:val="20"/>
        </w:rPr>
        <w:footnoteRef/>
      </w:r>
      <w:r w:rsidRPr="00A04969">
        <w:rPr>
          <w:sz w:val="20"/>
          <w:szCs w:val="20"/>
        </w:rPr>
        <w:t xml:space="preserve"> </w:t>
      </w:r>
      <w:r w:rsidRPr="00A04969">
        <w:rPr>
          <w:i/>
          <w:sz w:val="20"/>
          <w:szCs w:val="20"/>
        </w:rPr>
        <w:t>See, e.g</w:t>
      </w:r>
      <w:r w:rsidRPr="00A04969">
        <w:rPr>
          <w:sz w:val="20"/>
          <w:szCs w:val="20"/>
        </w:rPr>
        <w:t xml:space="preserve">., </w:t>
      </w:r>
      <w:r w:rsidRPr="00A04969">
        <w:rPr>
          <w:bCs/>
          <w:sz w:val="20"/>
          <w:szCs w:val="20"/>
          <w:lang w:val="en-US"/>
        </w:rPr>
        <w:t>Annex Two To Settlement Agreement Federal Authorizations Consultation Protocol</w:t>
      </w:r>
    </w:p>
    <w:p w14:paraId="342DFDDE" w14:textId="38CB2867" w:rsidR="00D43BBB" w:rsidRPr="00A04969" w:rsidRDefault="00D43BBB" w:rsidP="002420B7">
      <w:pPr>
        <w:widowControl w:val="0"/>
        <w:autoSpaceDE w:val="0"/>
        <w:autoSpaceDN w:val="0"/>
        <w:adjustRightInd w:val="0"/>
        <w:rPr>
          <w:sz w:val="20"/>
          <w:szCs w:val="20"/>
        </w:rPr>
      </w:pPr>
      <w:r w:rsidRPr="00A04969">
        <w:rPr>
          <w:bCs/>
          <w:sz w:val="20"/>
          <w:szCs w:val="20"/>
          <w:lang w:val="en-US"/>
        </w:rPr>
        <w:t>Her Majesty The Queen In Right Of Canada, As Represented By The Minister Of Indian Affairs And Northern Development</w:t>
      </w:r>
      <w:r w:rsidRPr="00A04969">
        <w:rPr>
          <w:sz w:val="20"/>
          <w:szCs w:val="20"/>
          <w:lang w:val="en-US"/>
        </w:rPr>
        <w:t xml:space="preserve"> </w:t>
      </w:r>
      <w:r w:rsidRPr="00A04969">
        <w:rPr>
          <w:bCs/>
          <w:sz w:val="20"/>
          <w:szCs w:val="20"/>
          <w:lang w:val="en-US"/>
        </w:rPr>
        <w:t>and</w:t>
      </w:r>
      <w:proofErr w:type="gramStart"/>
      <w:r w:rsidRPr="00A04969">
        <w:rPr>
          <w:bCs/>
          <w:sz w:val="20"/>
          <w:szCs w:val="20"/>
          <w:lang w:val="en-US"/>
        </w:rPr>
        <w:t>: </w:t>
      </w:r>
      <w:proofErr w:type="gramEnd"/>
      <w:r w:rsidRPr="00A04969">
        <w:rPr>
          <w:bCs/>
          <w:sz w:val="20"/>
          <w:szCs w:val="20"/>
          <w:lang w:val="en-US"/>
        </w:rPr>
        <w:t xml:space="preserve">The Dene </w:t>
      </w:r>
      <w:proofErr w:type="spellStart"/>
      <w:r w:rsidRPr="00A04969">
        <w:rPr>
          <w:bCs/>
          <w:sz w:val="20"/>
          <w:szCs w:val="20"/>
          <w:lang w:val="en-US"/>
        </w:rPr>
        <w:t>Tha</w:t>
      </w:r>
      <w:proofErr w:type="spellEnd"/>
      <w:r w:rsidRPr="00A04969">
        <w:rPr>
          <w:bCs/>
          <w:sz w:val="20"/>
          <w:szCs w:val="20"/>
          <w:lang w:val="en-US"/>
        </w:rPr>
        <w:t>’ First Nation, As Represented By Its Chief And Council</w:t>
      </w:r>
      <w:r w:rsidRPr="00A04969">
        <w:rPr>
          <w:sz w:val="20"/>
          <w:szCs w:val="20"/>
        </w:rPr>
        <w:t xml:space="preserve"> (Requiring </w:t>
      </w:r>
      <w:r w:rsidRPr="00A04969">
        <w:rPr>
          <w:sz w:val="20"/>
          <w:szCs w:val="20"/>
          <w:lang w:val="en-US"/>
        </w:rPr>
        <w:t>“Relevant And sufficient information that is reasonably required to assess potential adverse impacts.”)</w:t>
      </w:r>
    </w:p>
  </w:footnote>
  <w:footnote w:id="190">
    <w:p w14:paraId="5495DF6C" w14:textId="7A5AFD7E"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Arctic Council Arctic Marine Strategic Plan (2004), Strategic Action 7.6.3 [hereinafter AMSP 2004]; </w:t>
      </w:r>
      <w:proofErr w:type="gramStart"/>
      <w:r w:rsidRPr="00A04969">
        <w:rPr>
          <w:rFonts w:ascii="Times New Roman" w:hAnsi="Times New Roman" w:cs="Times New Roman"/>
          <w:sz w:val="20"/>
          <w:szCs w:val="20"/>
        </w:rPr>
        <w:t>AACA(</w:t>
      </w:r>
      <w:proofErr w:type="gramEnd"/>
      <w:r w:rsidRPr="00A04969">
        <w:rPr>
          <w:rFonts w:ascii="Times New Roman" w:hAnsi="Times New Roman" w:cs="Times New Roman"/>
          <w:sz w:val="20"/>
          <w:szCs w:val="20"/>
        </w:rPr>
        <w:t xml:space="preserve">a), </w:t>
      </w:r>
      <w:r w:rsidRPr="00A04969">
        <w:rPr>
          <w:rFonts w:ascii="Times New Roman" w:hAnsi="Times New Roman" w:cs="Times New Roman"/>
          <w:i/>
          <w:sz w:val="20"/>
          <w:szCs w:val="20"/>
        </w:rPr>
        <w:t xml:space="preserve">supra </w:t>
      </w:r>
      <w:r w:rsidRPr="00A04969">
        <w:rPr>
          <w:rFonts w:ascii="Times New Roman" w:hAnsi="Times New Roman" w:cs="Times New Roman"/>
          <w:sz w:val="20"/>
          <w:szCs w:val="20"/>
        </w:rPr>
        <w:t xml:space="preserve">n. </w:t>
      </w:r>
      <w:r w:rsidRPr="00A04969">
        <w:rPr>
          <w:rFonts w:ascii="Times New Roman" w:hAnsi="Times New Roman" w:cs="Times New Roman"/>
          <w:sz w:val="20"/>
          <w:szCs w:val="20"/>
          <w:highlight w:val="cyan"/>
        </w:rPr>
        <w:fldChar w:fldCharType="begin"/>
      </w:r>
      <w:r w:rsidRPr="00A04969">
        <w:rPr>
          <w:rFonts w:ascii="Times New Roman" w:hAnsi="Times New Roman" w:cs="Times New Roman"/>
          <w:sz w:val="20"/>
          <w:szCs w:val="20"/>
        </w:rPr>
        <w:instrText xml:space="preserve"> NOTEREF _Ref333606215 \h </w:instrText>
      </w:r>
      <w:r w:rsidRPr="00A04969">
        <w:rPr>
          <w:rFonts w:ascii="Times New Roman" w:hAnsi="Times New Roman" w:cs="Times New Roman"/>
          <w:sz w:val="20"/>
          <w:szCs w:val="20"/>
          <w:highlight w:val="cyan"/>
        </w:rPr>
      </w:r>
      <w:r w:rsidRPr="00A04969">
        <w:rPr>
          <w:rFonts w:ascii="Times New Roman" w:hAnsi="Times New Roman" w:cs="Times New Roman"/>
          <w:sz w:val="20"/>
          <w:szCs w:val="20"/>
          <w:highlight w:val="cyan"/>
        </w:rPr>
        <w:fldChar w:fldCharType="separate"/>
      </w:r>
      <w:r>
        <w:rPr>
          <w:rFonts w:ascii="Times New Roman" w:hAnsi="Times New Roman" w:cs="Times New Roman"/>
          <w:sz w:val="20"/>
          <w:szCs w:val="20"/>
        </w:rPr>
        <w:t>161</w:t>
      </w:r>
      <w:r w:rsidRPr="00A04969">
        <w:rPr>
          <w:rFonts w:ascii="Times New Roman" w:hAnsi="Times New Roman" w:cs="Times New Roman"/>
          <w:sz w:val="20"/>
          <w:szCs w:val="20"/>
          <w:highlight w:val="cyan"/>
        </w:rPr>
        <w:fldChar w:fldCharType="end"/>
      </w:r>
      <w:r w:rsidRPr="00A04969">
        <w:rPr>
          <w:rFonts w:ascii="Times New Roman" w:hAnsi="Times New Roman" w:cs="Times New Roman"/>
          <w:sz w:val="20"/>
          <w:szCs w:val="20"/>
        </w:rPr>
        <w:t xml:space="preserve"> at 18, 9; PAME Offshore Oil and Gas, supra n.</w:t>
      </w:r>
      <w:r w:rsidRPr="00A04969">
        <w:rPr>
          <w:rFonts w:ascii="Times New Roman" w:hAnsi="Times New Roman" w:cs="Times New Roman"/>
          <w:sz w:val="20"/>
          <w:szCs w:val="20"/>
        </w:rPr>
        <w:fldChar w:fldCharType="begin"/>
      </w:r>
      <w:r w:rsidRPr="00A04969">
        <w:rPr>
          <w:rFonts w:ascii="Times New Roman" w:hAnsi="Times New Roman" w:cs="Times New Roman"/>
          <w:sz w:val="20"/>
          <w:szCs w:val="20"/>
        </w:rPr>
        <w:instrText xml:space="preserve"> NOTEREF _Ref333994849 \h </w:instrText>
      </w:r>
      <w:r w:rsidRPr="00A04969">
        <w:rPr>
          <w:rFonts w:ascii="Times New Roman" w:hAnsi="Times New Roman" w:cs="Times New Roman"/>
          <w:sz w:val="20"/>
          <w:szCs w:val="20"/>
        </w:rPr>
      </w:r>
      <w:r w:rsidRPr="00A04969">
        <w:rPr>
          <w:rFonts w:ascii="Times New Roman" w:hAnsi="Times New Roman" w:cs="Times New Roman"/>
          <w:sz w:val="20"/>
          <w:szCs w:val="20"/>
        </w:rPr>
        <w:fldChar w:fldCharType="separate"/>
      </w:r>
      <w:proofErr w:type="gramStart"/>
      <w:r>
        <w:rPr>
          <w:rFonts w:ascii="Times New Roman" w:hAnsi="Times New Roman" w:cs="Times New Roman"/>
          <w:sz w:val="20"/>
          <w:szCs w:val="20"/>
        </w:rPr>
        <w:t>78</w:t>
      </w:r>
      <w:r w:rsidRPr="00A04969">
        <w:rPr>
          <w:rFonts w:ascii="Times New Roman" w:hAnsi="Times New Roman" w:cs="Times New Roman"/>
          <w:sz w:val="20"/>
          <w:szCs w:val="20"/>
        </w:rPr>
        <w:fldChar w:fldCharType="end"/>
      </w:r>
      <w:r w:rsidRPr="00A04969">
        <w:rPr>
          <w:rFonts w:ascii="Times New Roman" w:hAnsi="Times New Roman" w:cs="Times New Roman"/>
          <w:sz w:val="20"/>
          <w:szCs w:val="20"/>
        </w:rPr>
        <w:t xml:space="preserve"> at 10, 12, 19; Ottawa Principles, </w:t>
      </w:r>
      <w:r w:rsidRPr="00A04969">
        <w:rPr>
          <w:rFonts w:ascii="Times New Roman" w:hAnsi="Times New Roman" w:cs="Times New Roman"/>
          <w:i/>
          <w:sz w:val="20"/>
          <w:szCs w:val="20"/>
        </w:rPr>
        <w:t>supra</w:t>
      </w:r>
      <w:r w:rsidRPr="00A04969">
        <w:rPr>
          <w:rFonts w:ascii="Times New Roman" w:hAnsi="Times New Roman" w:cs="Times New Roman"/>
          <w:sz w:val="20"/>
          <w:szCs w:val="20"/>
        </w:rPr>
        <w:t xml:space="preserve"> n. </w:t>
      </w:r>
      <w:r w:rsidRPr="00A04969">
        <w:rPr>
          <w:rFonts w:ascii="Times New Roman" w:hAnsi="Times New Roman" w:cs="Times New Roman"/>
          <w:sz w:val="20"/>
          <w:szCs w:val="20"/>
        </w:rPr>
        <w:fldChar w:fldCharType="begin"/>
      </w:r>
      <w:r w:rsidRPr="00A04969">
        <w:rPr>
          <w:rFonts w:ascii="Times New Roman" w:hAnsi="Times New Roman" w:cs="Times New Roman"/>
          <w:sz w:val="20"/>
          <w:szCs w:val="20"/>
        </w:rPr>
        <w:instrText xml:space="preserve"> NOTEREF _Ref334001803 \h </w:instrText>
      </w:r>
      <w:r w:rsidRPr="00A04969">
        <w:rPr>
          <w:rFonts w:ascii="Times New Roman" w:hAnsi="Times New Roman" w:cs="Times New Roman"/>
          <w:sz w:val="20"/>
          <w:szCs w:val="20"/>
        </w:rPr>
      </w:r>
      <w:r w:rsidRPr="00A04969">
        <w:rPr>
          <w:rFonts w:ascii="Times New Roman" w:hAnsi="Times New Roman" w:cs="Times New Roman"/>
          <w:sz w:val="20"/>
          <w:szCs w:val="20"/>
        </w:rPr>
        <w:fldChar w:fldCharType="separate"/>
      </w:r>
      <w:r>
        <w:rPr>
          <w:rFonts w:ascii="Times New Roman" w:hAnsi="Times New Roman" w:cs="Times New Roman"/>
          <w:sz w:val="20"/>
          <w:szCs w:val="20"/>
        </w:rPr>
        <w:t>144</w:t>
      </w:r>
      <w:r w:rsidRPr="00A04969">
        <w:rPr>
          <w:rFonts w:ascii="Times New Roman" w:hAnsi="Times New Roman" w:cs="Times New Roman"/>
          <w:sz w:val="20"/>
          <w:szCs w:val="20"/>
        </w:rPr>
        <w:fldChar w:fldCharType="end"/>
      </w:r>
      <w:r w:rsidRPr="00A04969">
        <w:rPr>
          <w:rFonts w:ascii="Times New Roman" w:hAnsi="Times New Roman" w:cs="Times New Roman"/>
          <w:sz w:val="20"/>
          <w:szCs w:val="20"/>
        </w:rPr>
        <w:t>.</w:t>
      </w:r>
      <w:proofErr w:type="gramEnd"/>
    </w:p>
  </w:footnote>
  <w:footnote w:id="191">
    <w:p w14:paraId="03B4B57F" w14:textId="7D23BF6E"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AMSP 2004, supra n. </w:t>
      </w:r>
      <w:r w:rsidRPr="00A04969">
        <w:rPr>
          <w:rFonts w:ascii="Times New Roman" w:hAnsi="Times New Roman" w:cs="Times New Roman"/>
          <w:sz w:val="20"/>
          <w:szCs w:val="20"/>
        </w:rPr>
        <w:fldChar w:fldCharType="begin"/>
      </w:r>
      <w:r w:rsidRPr="00A04969">
        <w:rPr>
          <w:rFonts w:ascii="Times New Roman" w:hAnsi="Times New Roman" w:cs="Times New Roman"/>
          <w:sz w:val="20"/>
          <w:szCs w:val="20"/>
        </w:rPr>
        <w:instrText xml:space="preserve"> NOTEREF _Ref334001851 \h </w:instrText>
      </w:r>
      <w:r w:rsidRPr="00A04969">
        <w:rPr>
          <w:rFonts w:ascii="Times New Roman" w:hAnsi="Times New Roman" w:cs="Times New Roman"/>
          <w:sz w:val="20"/>
          <w:szCs w:val="20"/>
        </w:rPr>
      </w:r>
      <w:r w:rsidRPr="00A04969">
        <w:rPr>
          <w:rFonts w:ascii="Times New Roman" w:hAnsi="Times New Roman" w:cs="Times New Roman"/>
          <w:sz w:val="20"/>
          <w:szCs w:val="20"/>
        </w:rPr>
        <w:fldChar w:fldCharType="separate"/>
      </w:r>
      <w:r>
        <w:rPr>
          <w:rFonts w:ascii="Times New Roman" w:hAnsi="Times New Roman" w:cs="Times New Roman"/>
          <w:sz w:val="20"/>
          <w:szCs w:val="20"/>
        </w:rPr>
        <w:t>189</w:t>
      </w:r>
      <w:r w:rsidRPr="00A04969">
        <w:rPr>
          <w:rFonts w:ascii="Times New Roman" w:hAnsi="Times New Roman" w:cs="Times New Roman"/>
          <w:sz w:val="20"/>
          <w:szCs w:val="20"/>
        </w:rPr>
        <w:fldChar w:fldCharType="end"/>
      </w:r>
      <w:r w:rsidRPr="00A04969">
        <w:rPr>
          <w:rFonts w:ascii="Times New Roman" w:hAnsi="Times New Roman" w:cs="Times New Roman"/>
          <w:sz w:val="20"/>
          <w:szCs w:val="20"/>
        </w:rPr>
        <w:t xml:space="preserve">, Strategic Action 7.1.2; Arctic Council Arctic Marine Strategic Plan 2015, Strategic Actions 7.1.1 (encouraging scientific cooperation and joint monitoring for those involved in research or Indigenous Knowledge), 7.1.2 (encouraging improved, strengthened, and response to various forms of information including Indigenous Knowledge), and 7.4.4 (encouraging engagement with Indigenous Peoples with Indigenous Knowledge to inform the work of the Arctic Council) [hereinafter AMSP 2015]; Arctic Council Arctic Ocean Review Project at 3 (2013) [hereinafter AOR]; PAME Offshore Oil and Gas, </w:t>
      </w:r>
      <w:r w:rsidRPr="00A04969">
        <w:rPr>
          <w:rFonts w:ascii="Times New Roman" w:hAnsi="Times New Roman" w:cs="Times New Roman"/>
          <w:i/>
          <w:sz w:val="20"/>
          <w:szCs w:val="20"/>
        </w:rPr>
        <w:t>supra</w:t>
      </w:r>
      <w:r w:rsidRPr="00A04969">
        <w:rPr>
          <w:rFonts w:ascii="Times New Roman" w:hAnsi="Times New Roman" w:cs="Times New Roman"/>
          <w:sz w:val="20"/>
          <w:szCs w:val="20"/>
        </w:rPr>
        <w:t xml:space="preserve"> n. </w:t>
      </w:r>
      <w:r w:rsidRPr="00A04969">
        <w:rPr>
          <w:rFonts w:ascii="Times New Roman" w:hAnsi="Times New Roman" w:cs="Times New Roman"/>
          <w:sz w:val="20"/>
          <w:szCs w:val="20"/>
        </w:rPr>
        <w:fldChar w:fldCharType="begin"/>
      </w:r>
      <w:r w:rsidRPr="00A04969">
        <w:rPr>
          <w:rFonts w:ascii="Times New Roman" w:hAnsi="Times New Roman" w:cs="Times New Roman"/>
          <w:sz w:val="20"/>
          <w:szCs w:val="20"/>
        </w:rPr>
        <w:instrText xml:space="preserve"> NOTEREF _Ref333994849 \h </w:instrText>
      </w:r>
      <w:r w:rsidRPr="00A04969">
        <w:rPr>
          <w:rFonts w:ascii="Times New Roman" w:hAnsi="Times New Roman" w:cs="Times New Roman"/>
          <w:sz w:val="20"/>
          <w:szCs w:val="20"/>
        </w:rPr>
      </w:r>
      <w:r w:rsidRPr="00A04969">
        <w:rPr>
          <w:rFonts w:ascii="Times New Roman" w:hAnsi="Times New Roman" w:cs="Times New Roman"/>
          <w:sz w:val="20"/>
          <w:szCs w:val="20"/>
        </w:rPr>
        <w:fldChar w:fldCharType="separate"/>
      </w:r>
      <w:r>
        <w:rPr>
          <w:rFonts w:ascii="Times New Roman" w:hAnsi="Times New Roman" w:cs="Times New Roman"/>
          <w:sz w:val="20"/>
          <w:szCs w:val="20"/>
        </w:rPr>
        <w:t>78</w:t>
      </w:r>
      <w:r w:rsidRPr="00A04969">
        <w:rPr>
          <w:rFonts w:ascii="Times New Roman" w:hAnsi="Times New Roman" w:cs="Times New Roman"/>
          <w:sz w:val="20"/>
          <w:szCs w:val="20"/>
        </w:rPr>
        <w:fldChar w:fldCharType="end"/>
      </w:r>
      <w:r w:rsidRPr="00A04969">
        <w:rPr>
          <w:rFonts w:ascii="Times New Roman" w:hAnsi="Times New Roman" w:cs="Times New Roman"/>
          <w:sz w:val="20"/>
          <w:szCs w:val="20"/>
        </w:rPr>
        <w:t xml:space="preserve"> at 12.</w:t>
      </w:r>
    </w:p>
  </w:footnote>
  <w:footnote w:id="192">
    <w:p w14:paraId="12AD373D" w14:textId="77777777" w:rsidR="00D43BBB" w:rsidRPr="00A04969" w:rsidRDefault="00D43BBB" w:rsidP="00AD0B7B">
      <w:pPr>
        <w:widowControl w:val="0"/>
        <w:autoSpaceDE w:val="0"/>
        <w:autoSpaceDN w:val="0"/>
        <w:adjustRightInd w:val="0"/>
        <w:rPr>
          <w:sz w:val="20"/>
          <w:szCs w:val="20"/>
          <w:lang w:val="en-US"/>
        </w:rPr>
      </w:pPr>
      <w:r w:rsidRPr="00A04969">
        <w:rPr>
          <w:rStyle w:val="FootnoteReference"/>
          <w:sz w:val="20"/>
          <w:szCs w:val="20"/>
        </w:rPr>
        <w:footnoteRef/>
      </w:r>
      <w:r w:rsidRPr="00A04969">
        <w:rPr>
          <w:sz w:val="20"/>
          <w:szCs w:val="20"/>
        </w:rPr>
        <w:t xml:space="preserve"> </w:t>
      </w:r>
      <w:proofErr w:type="spellStart"/>
      <w:r w:rsidRPr="00A04969">
        <w:rPr>
          <w:sz w:val="20"/>
          <w:szCs w:val="20"/>
          <w:lang w:val="en-US"/>
        </w:rPr>
        <w:t>Gofman</w:t>
      </w:r>
      <w:proofErr w:type="spellEnd"/>
      <w:r w:rsidRPr="00A04969">
        <w:rPr>
          <w:sz w:val="20"/>
          <w:szCs w:val="20"/>
          <w:lang w:val="en-US"/>
        </w:rPr>
        <w:t>. V., Community based monitoring handbook: lessons from the Arctic, CAFF CBMP Report No. 21 at 4 (2010).</w:t>
      </w:r>
    </w:p>
  </w:footnote>
  <w:footnote w:id="193">
    <w:p w14:paraId="46A38D66" w14:textId="60BB4DA4" w:rsidR="00D43BBB" w:rsidRPr="00A04969" w:rsidRDefault="00D43BBB" w:rsidP="002420B7">
      <w:pPr>
        <w:rPr>
          <w:rFonts w:eastAsia="Times New Roman"/>
          <w:color w:val="000000"/>
          <w:sz w:val="20"/>
          <w:szCs w:val="20"/>
          <w:lang w:val="en-US"/>
        </w:rPr>
      </w:pPr>
      <w:r w:rsidRPr="00A04969">
        <w:rPr>
          <w:rStyle w:val="FootnoteReference"/>
          <w:sz w:val="20"/>
          <w:szCs w:val="20"/>
        </w:rPr>
        <w:footnoteRef/>
      </w:r>
      <w:r w:rsidRPr="00A04969">
        <w:rPr>
          <w:sz w:val="20"/>
          <w:szCs w:val="20"/>
        </w:rPr>
        <w:t xml:space="preserve"> </w:t>
      </w:r>
      <w:proofErr w:type="gramStart"/>
      <w:r w:rsidRPr="00A04969">
        <w:rPr>
          <w:rFonts w:eastAsia="Times New Roman"/>
          <w:color w:val="000000"/>
          <w:sz w:val="20"/>
          <w:szCs w:val="20"/>
          <w:lang w:val="en-US"/>
        </w:rPr>
        <w:t xml:space="preserve">Ottawa Principles, </w:t>
      </w:r>
      <w:r w:rsidRPr="00A04969">
        <w:rPr>
          <w:rFonts w:eastAsia="Times New Roman"/>
          <w:i/>
          <w:color w:val="000000"/>
          <w:sz w:val="20"/>
          <w:szCs w:val="20"/>
          <w:lang w:val="en-US"/>
        </w:rPr>
        <w:t>supra</w:t>
      </w:r>
      <w:r w:rsidRPr="00A04969">
        <w:rPr>
          <w:rFonts w:eastAsia="Times New Roman"/>
          <w:color w:val="000000"/>
          <w:sz w:val="20"/>
          <w:szCs w:val="20"/>
          <w:lang w:val="en-US"/>
        </w:rPr>
        <w:t xml:space="preserve"> n. </w:t>
      </w:r>
      <w:r w:rsidRPr="00A04969">
        <w:rPr>
          <w:rFonts w:eastAsia="Times New Roman"/>
          <w:color w:val="000000"/>
          <w:sz w:val="20"/>
          <w:szCs w:val="20"/>
          <w:lang w:val="en-US"/>
        </w:rPr>
        <w:fldChar w:fldCharType="begin"/>
      </w:r>
      <w:r w:rsidRPr="00A04969">
        <w:rPr>
          <w:rFonts w:eastAsia="Times New Roman"/>
          <w:color w:val="000000"/>
          <w:sz w:val="20"/>
          <w:szCs w:val="20"/>
          <w:lang w:val="en-US"/>
        </w:rPr>
        <w:instrText xml:space="preserve"> NOTEREF _Ref334001803 \h </w:instrText>
      </w:r>
      <w:r w:rsidRPr="00A04969">
        <w:rPr>
          <w:rFonts w:eastAsia="Times New Roman"/>
          <w:color w:val="000000"/>
          <w:sz w:val="20"/>
          <w:szCs w:val="20"/>
          <w:lang w:val="en-US"/>
        </w:rPr>
      </w:r>
      <w:r w:rsidRPr="00A04969">
        <w:rPr>
          <w:rFonts w:eastAsia="Times New Roman"/>
          <w:color w:val="000000"/>
          <w:sz w:val="20"/>
          <w:szCs w:val="20"/>
          <w:lang w:val="en-US"/>
        </w:rPr>
        <w:fldChar w:fldCharType="separate"/>
      </w:r>
      <w:r>
        <w:rPr>
          <w:rFonts w:eastAsia="Times New Roman"/>
          <w:color w:val="000000"/>
          <w:sz w:val="20"/>
          <w:szCs w:val="20"/>
          <w:lang w:val="en-US"/>
        </w:rPr>
        <w:t>144</w:t>
      </w:r>
      <w:r w:rsidRPr="00A04969">
        <w:rPr>
          <w:rFonts w:eastAsia="Times New Roman"/>
          <w:color w:val="000000"/>
          <w:sz w:val="20"/>
          <w:szCs w:val="20"/>
          <w:lang w:val="en-US"/>
        </w:rPr>
        <w:fldChar w:fldCharType="end"/>
      </w:r>
      <w:r w:rsidRPr="00A04969">
        <w:rPr>
          <w:rFonts w:eastAsia="Times New Roman"/>
          <w:color w:val="000000"/>
          <w:sz w:val="20"/>
          <w:szCs w:val="20"/>
          <w:lang w:val="en-US"/>
        </w:rPr>
        <w:t>.</w:t>
      </w:r>
      <w:proofErr w:type="gramEnd"/>
    </w:p>
  </w:footnote>
  <w:footnote w:id="194">
    <w:p w14:paraId="7D1CF115" w14:textId="77777777"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r w:rsidRPr="00A04969">
        <w:rPr>
          <w:rFonts w:ascii="Times New Roman" w:eastAsiaTheme="minorHAnsi" w:hAnsi="Times New Roman" w:cs="Times New Roman"/>
          <w:color w:val="000000" w:themeColor="text1"/>
          <w:sz w:val="20"/>
          <w:szCs w:val="20"/>
        </w:rPr>
        <w:t xml:space="preserve">The Sea is Our Highway An Inuit Perspective on Transportation in the Arctic, A Contribution to the Arctic Marine Shipping Assessment (Inuit Circumpolar Council - Canada March 2008). </w:t>
      </w:r>
    </w:p>
  </w:footnote>
  <w:footnote w:id="195">
    <w:p w14:paraId="5A59A964" w14:textId="77777777"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r w:rsidRPr="00A04969">
        <w:rPr>
          <w:rFonts w:ascii="Times New Roman" w:eastAsiaTheme="minorHAnsi" w:hAnsi="Times New Roman" w:cs="Times New Roman"/>
          <w:color w:val="000000" w:themeColor="text1"/>
          <w:sz w:val="20"/>
          <w:szCs w:val="20"/>
        </w:rPr>
        <w:t xml:space="preserve">The Sea Ice Never Stops: Circumpolar Inuit Reflections on Sea Ice Use and Shipping in Inuit </w:t>
      </w:r>
      <w:proofErr w:type="spellStart"/>
      <w:r w:rsidRPr="00A04969">
        <w:rPr>
          <w:rFonts w:ascii="Times New Roman" w:eastAsiaTheme="minorHAnsi" w:hAnsi="Times New Roman" w:cs="Times New Roman"/>
          <w:color w:val="000000" w:themeColor="text1"/>
          <w:sz w:val="20"/>
          <w:szCs w:val="20"/>
        </w:rPr>
        <w:t>Nunaat</w:t>
      </w:r>
      <w:proofErr w:type="spellEnd"/>
      <w:r w:rsidRPr="00A04969">
        <w:rPr>
          <w:rFonts w:ascii="Times New Roman" w:eastAsiaTheme="minorHAnsi" w:hAnsi="Times New Roman" w:cs="Times New Roman"/>
          <w:color w:val="000000" w:themeColor="text1"/>
          <w:sz w:val="20"/>
          <w:szCs w:val="20"/>
        </w:rPr>
        <w:t xml:space="preserve"> (</w:t>
      </w:r>
      <w:r w:rsidRPr="00A04969">
        <w:rPr>
          <w:rFonts w:ascii="Times New Roman" w:hAnsi="Times New Roman" w:cs="Times New Roman"/>
          <w:sz w:val="20"/>
          <w:szCs w:val="20"/>
        </w:rPr>
        <w:t>Inuit Circumpolar Council - Canada, December 2014).</w:t>
      </w:r>
    </w:p>
  </w:footnote>
  <w:footnote w:id="196">
    <w:p w14:paraId="3A58844E" w14:textId="6FC55164" w:rsidR="00D43BBB" w:rsidRPr="00A04969" w:rsidRDefault="00D43BBB">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Arctic Council, CAFF, Arctic Traditional Knowledge and Wisdom.</w:t>
      </w:r>
    </w:p>
  </w:footnote>
  <w:footnote w:id="197">
    <w:p w14:paraId="10C69CD5" w14:textId="45734C62"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See, e.g., </w:t>
      </w:r>
      <w:proofErr w:type="spellStart"/>
      <w:r w:rsidRPr="00A04969">
        <w:rPr>
          <w:rFonts w:ascii="Times New Roman" w:hAnsi="Times New Roman" w:cs="Times New Roman"/>
          <w:sz w:val="20"/>
          <w:szCs w:val="20"/>
        </w:rPr>
        <w:t>Gofman</w:t>
      </w:r>
      <w:proofErr w:type="spellEnd"/>
      <w:r w:rsidRPr="00A04969">
        <w:rPr>
          <w:rFonts w:ascii="Times New Roman" w:hAnsi="Times New Roman" w:cs="Times New Roman"/>
          <w:sz w:val="20"/>
          <w:szCs w:val="20"/>
        </w:rPr>
        <w:t xml:space="preserve">. V., Community based monitoring handbook: lessons from the Arctic, CAFF CBMP Report No. 21 at 4 (2010); AACA (a), </w:t>
      </w:r>
      <w:r w:rsidRPr="00A04969">
        <w:rPr>
          <w:rFonts w:ascii="Times New Roman" w:hAnsi="Times New Roman" w:cs="Times New Roman"/>
          <w:i/>
          <w:sz w:val="20"/>
          <w:szCs w:val="20"/>
        </w:rPr>
        <w:t>supra</w:t>
      </w:r>
      <w:r w:rsidRPr="00A04969">
        <w:rPr>
          <w:rFonts w:ascii="Times New Roman" w:hAnsi="Times New Roman" w:cs="Times New Roman"/>
          <w:sz w:val="20"/>
          <w:szCs w:val="20"/>
        </w:rPr>
        <w:t xml:space="preserve"> n. </w:t>
      </w:r>
      <w:r w:rsidRPr="00A04969">
        <w:rPr>
          <w:rFonts w:ascii="Times New Roman" w:hAnsi="Times New Roman" w:cs="Times New Roman"/>
          <w:sz w:val="20"/>
          <w:szCs w:val="20"/>
        </w:rPr>
        <w:fldChar w:fldCharType="begin"/>
      </w:r>
      <w:r w:rsidRPr="00A04969">
        <w:rPr>
          <w:rFonts w:ascii="Times New Roman" w:hAnsi="Times New Roman" w:cs="Times New Roman"/>
          <w:sz w:val="20"/>
          <w:szCs w:val="20"/>
        </w:rPr>
        <w:instrText xml:space="preserve"> NOTEREF _Ref333606215 \h </w:instrText>
      </w:r>
      <w:r w:rsidRPr="00A04969">
        <w:rPr>
          <w:rFonts w:ascii="Times New Roman" w:hAnsi="Times New Roman" w:cs="Times New Roman"/>
          <w:sz w:val="20"/>
          <w:szCs w:val="20"/>
        </w:rPr>
      </w:r>
      <w:r w:rsidRPr="00A04969">
        <w:rPr>
          <w:rFonts w:ascii="Times New Roman" w:hAnsi="Times New Roman" w:cs="Times New Roman"/>
          <w:sz w:val="20"/>
          <w:szCs w:val="20"/>
        </w:rPr>
        <w:fldChar w:fldCharType="separate"/>
      </w:r>
      <w:r>
        <w:rPr>
          <w:rFonts w:ascii="Times New Roman" w:hAnsi="Times New Roman" w:cs="Times New Roman"/>
          <w:sz w:val="20"/>
          <w:szCs w:val="20"/>
        </w:rPr>
        <w:t>161</w:t>
      </w:r>
      <w:r w:rsidRPr="00A04969">
        <w:rPr>
          <w:rFonts w:ascii="Times New Roman" w:hAnsi="Times New Roman" w:cs="Times New Roman"/>
          <w:sz w:val="20"/>
          <w:szCs w:val="20"/>
        </w:rPr>
        <w:fldChar w:fldCharType="end"/>
      </w:r>
      <w:r w:rsidRPr="00A04969">
        <w:rPr>
          <w:rFonts w:ascii="Times New Roman" w:hAnsi="Times New Roman" w:cs="Times New Roman"/>
          <w:sz w:val="20"/>
          <w:szCs w:val="20"/>
        </w:rPr>
        <w:t xml:space="preserve"> at 7; AMSP 2004, </w:t>
      </w:r>
      <w:r w:rsidRPr="00A04969">
        <w:rPr>
          <w:rFonts w:ascii="Times New Roman" w:hAnsi="Times New Roman" w:cs="Times New Roman"/>
          <w:i/>
          <w:sz w:val="20"/>
          <w:szCs w:val="20"/>
        </w:rPr>
        <w:t>supra</w:t>
      </w:r>
      <w:r w:rsidRPr="00A04969">
        <w:rPr>
          <w:rFonts w:ascii="Times New Roman" w:hAnsi="Times New Roman" w:cs="Times New Roman"/>
          <w:sz w:val="20"/>
          <w:szCs w:val="20"/>
        </w:rPr>
        <w:t xml:space="preserve"> n. </w:t>
      </w:r>
      <w:r w:rsidRPr="00A04969">
        <w:rPr>
          <w:rFonts w:ascii="Times New Roman" w:hAnsi="Times New Roman" w:cs="Times New Roman"/>
          <w:sz w:val="20"/>
          <w:szCs w:val="20"/>
        </w:rPr>
        <w:fldChar w:fldCharType="begin"/>
      </w:r>
      <w:r w:rsidRPr="00A04969">
        <w:rPr>
          <w:rFonts w:ascii="Times New Roman" w:hAnsi="Times New Roman" w:cs="Times New Roman"/>
          <w:sz w:val="20"/>
          <w:szCs w:val="20"/>
        </w:rPr>
        <w:instrText xml:space="preserve"> NOTEREF _Ref334001851 \h </w:instrText>
      </w:r>
      <w:r w:rsidRPr="00A04969">
        <w:rPr>
          <w:rFonts w:ascii="Times New Roman" w:hAnsi="Times New Roman" w:cs="Times New Roman"/>
          <w:sz w:val="20"/>
          <w:szCs w:val="20"/>
        </w:rPr>
      </w:r>
      <w:r w:rsidRPr="00A04969">
        <w:rPr>
          <w:rFonts w:ascii="Times New Roman" w:hAnsi="Times New Roman" w:cs="Times New Roman"/>
          <w:sz w:val="20"/>
          <w:szCs w:val="20"/>
        </w:rPr>
        <w:fldChar w:fldCharType="separate"/>
      </w:r>
      <w:r>
        <w:rPr>
          <w:rFonts w:ascii="Times New Roman" w:hAnsi="Times New Roman" w:cs="Times New Roman"/>
          <w:sz w:val="20"/>
          <w:szCs w:val="20"/>
        </w:rPr>
        <w:t>189</w:t>
      </w:r>
      <w:r w:rsidRPr="00A04969">
        <w:rPr>
          <w:rFonts w:ascii="Times New Roman" w:hAnsi="Times New Roman" w:cs="Times New Roman"/>
          <w:sz w:val="20"/>
          <w:szCs w:val="20"/>
        </w:rPr>
        <w:fldChar w:fldCharType="end"/>
      </w:r>
      <w:r w:rsidRPr="00A04969">
        <w:rPr>
          <w:rFonts w:ascii="Times New Roman" w:hAnsi="Times New Roman" w:cs="Times New Roman"/>
          <w:sz w:val="20"/>
          <w:szCs w:val="20"/>
        </w:rPr>
        <w:t xml:space="preserve">, Strategic Action 7.6.2; AMSP 2015, </w:t>
      </w:r>
      <w:r w:rsidRPr="00A04969">
        <w:rPr>
          <w:rFonts w:ascii="Times New Roman" w:hAnsi="Times New Roman" w:cs="Times New Roman"/>
          <w:i/>
          <w:sz w:val="20"/>
          <w:szCs w:val="20"/>
        </w:rPr>
        <w:t>supra</w:t>
      </w:r>
      <w:r w:rsidRPr="00A04969">
        <w:rPr>
          <w:rFonts w:ascii="Times New Roman" w:hAnsi="Times New Roman" w:cs="Times New Roman"/>
          <w:sz w:val="20"/>
          <w:szCs w:val="20"/>
        </w:rPr>
        <w:t xml:space="preserve"> n. </w:t>
      </w:r>
      <w:r w:rsidRPr="00A04969">
        <w:rPr>
          <w:rFonts w:ascii="Times New Roman" w:hAnsi="Times New Roman" w:cs="Times New Roman"/>
          <w:sz w:val="20"/>
          <w:szCs w:val="20"/>
        </w:rPr>
        <w:fldChar w:fldCharType="begin"/>
      </w:r>
      <w:r w:rsidRPr="00A04969">
        <w:rPr>
          <w:rFonts w:ascii="Times New Roman" w:hAnsi="Times New Roman" w:cs="Times New Roman"/>
          <w:sz w:val="20"/>
          <w:szCs w:val="20"/>
        </w:rPr>
        <w:instrText xml:space="preserve"> NOTEREF _Ref334006431 \h </w:instrText>
      </w:r>
      <w:r w:rsidRPr="00A04969">
        <w:rPr>
          <w:rFonts w:ascii="Times New Roman" w:hAnsi="Times New Roman" w:cs="Times New Roman"/>
          <w:sz w:val="20"/>
          <w:szCs w:val="20"/>
        </w:rPr>
      </w:r>
      <w:r w:rsidRPr="00A04969">
        <w:rPr>
          <w:rFonts w:ascii="Times New Roman" w:hAnsi="Times New Roman" w:cs="Times New Roman"/>
          <w:sz w:val="20"/>
          <w:szCs w:val="20"/>
        </w:rPr>
        <w:fldChar w:fldCharType="separate"/>
      </w:r>
      <w:r>
        <w:rPr>
          <w:rFonts w:ascii="Times New Roman" w:hAnsi="Times New Roman" w:cs="Times New Roman"/>
          <w:sz w:val="20"/>
          <w:szCs w:val="20"/>
        </w:rPr>
        <w:t>190</w:t>
      </w:r>
      <w:r w:rsidRPr="00A04969">
        <w:rPr>
          <w:rFonts w:ascii="Times New Roman" w:hAnsi="Times New Roman" w:cs="Times New Roman"/>
          <w:sz w:val="20"/>
          <w:szCs w:val="20"/>
        </w:rPr>
        <w:fldChar w:fldCharType="end"/>
      </w:r>
      <w:r w:rsidRPr="00A04969">
        <w:rPr>
          <w:rFonts w:ascii="Times New Roman" w:hAnsi="Times New Roman" w:cs="Times New Roman"/>
          <w:sz w:val="20"/>
          <w:szCs w:val="20"/>
        </w:rPr>
        <w:t>, Strategic Action 7.1.5.</w:t>
      </w:r>
    </w:p>
  </w:footnote>
  <w:footnote w:id="198">
    <w:p w14:paraId="283A3B34" w14:textId="19739F94"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AMSP 2004, </w:t>
      </w:r>
      <w:r w:rsidRPr="00A04969">
        <w:rPr>
          <w:rFonts w:ascii="Times New Roman" w:hAnsi="Times New Roman" w:cs="Times New Roman"/>
          <w:i/>
          <w:sz w:val="20"/>
          <w:szCs w:val="20"/>
        </w:rPr>
        <w:t>supra</w:t>
      </w:r>
      <w:r w:rsidRPr="00A04969">
        <w:rPr>
          <w:rFonts w:ascii="Times New Roman" w:hAnsi="Times New Roman" w:cs="Times New Roman"/>
          <w:sz w:val="20"/>
          <w:szCs w:val="20"/>
        </w:rPr>
        <w:t xml:space="preserve"> n. </w:t>
      </w:r>
      <w:r w:rsidRPr="00A04969">
        <w:rPr>
          <w:rFonts w:ascii="Times New Roman" w:hAnsi="Times New Roman" w:cs="Times New Roman"/>
          <w:sz w:val="20"/>
          <w:szCs w:val="20"/>
        </w:rPr>
        <w:fldChar w:fldCharType="begin"/>
      </w:r>
      <w:r w:rsidRPr="00A04969">
        <w:rPr>
          <w:rFonts w:ascii="Times New Roman" w:hAnsi="Times New Roman" w:cs="Times New Roman"/>
          <w:sz w:val="20"/>
          <w:szCs w:val="20"/>
        </w:rPr>
        <w:instrText xml:space="preserve"> NOTEREF _Ref334001851 \h </w:instrText>
      </w:r>
      <w:r w:rsidRPr="00A04969">
        <w:rPr>
          <w:rFonts w:ascii="Times New Roman" w:hAnsi="Times New Roman" w:cs="Times New Roman"/>
          <w:sz w:val="20"/>
          <w:szCs w:val="20"/>
        </w:rPr>
      </w:r>
      <w:r w:rsidRPr="00A04969">
        <w:rPr>
          <w:rFonts w:ascii="Times New Roman" w:hAnsi="Times New Roman" w:cs="Times New Roman"/>
          <w:sz w:val="20"/>
          <w:szCs w:val="20"/>
        </w:rPr>
        <w:fldChar w:fldCharType="separate"/>
      </w:r>
      <w:r>
        <w:rPr>
          <w:rFonts w:ascii="Times New Roman" w:hAnsi="Times New Roman" w:cs="Times New Roman"/>
          <w:sz w:val="20"/>
          <w:szCs w:val="20"/>
        </w:rPr>
        <w:t>189</w:t>
      </w:r>
      <w:r w:rsidRPr="00A04969">
        <w:rPr>
          <w:rFonts w:ascii="Times New Roman" w:hAnsi="Times New Roman" w:cs="Times New Roman"/>
          <w:sz w:val="20"/>
          <w:szCs w:val="20"/>
        </w:rPr>
        <w:fldChar w:fldCharType="end"/>
      </w:r>
      <w:r w:rsidRPr="00A04969">
        <w:rPr>
          <w:rFonts w:ascii="Times New Roman" w:hAnsi="Times New Roman" w:cs="Times New Roman"/>
          <w:sz w:val="20"/>
          <w:szCs w:val="20"/>
        </w:rPr>
        <w:t xml:space="preserve">, Action 7.6.3; </w:t>
      </w:r>
      <w:proofErr w:type="gramStart"/>
      <w:r w:rsidRPr="00A04969">
        <w:rPr>
          <w:rFonts w:ascii="Times New Roman" w:hAnsi="Times New Roman" w:cs="Times New Roman"/>
          <w:sz w:val="20"/>
          <w:szCs w:val="20"/>
        </w:rPr>
        <w:t>AACA(</w:t>
      </w:r>
      <w:proofErr w:type="gramEnd"/>
      <w:r w:rsidRPr="00A04969">
        <w:rPr>
          <w:rFonts w:ascii="Times New Roman" w:hAnsi="Times New Roman" w:cs="Times New Roman"/>
          <w:sz w:val="20"/>
          <w:szCs w:val="20"/>
        </w:rPr>
        <w:t xml:space="preserve">a), </w:t>
      </w:r>
      <w:r w:rsidRPr="00A04969">
        <w:rPr>
          <w:rFonts w:ascii="Times New Roman" w:hAnsi="Times New Roman" w:cs="Times New Roman"/>
          <w:i/>
          <w:sz w:val="20"/>
          <w:szCs w:val="20"/>
        </w:rPr>
        <w:t>supra</w:t>
      </w:r>
      <w:r w:rsidRPr="00A04969">
        <w:rPr>
          <w:rFonts w:ascii="Times New Roman" w:hAnsi="Times New Roman" w:cs="Times New Roman"/>
          <w:sz w:val="20"/>
          <w:szCs w:val="20"/>
        </w:rPr>
        <w:t xml:space="preserve"> n. </w:t>
      </w:r>
      <w:r w:rsidRPr="00A04969">
        <w:rPr>
          <w:rFonts w:ascii="Times New Roman" w:hAnsi="Times New Roman" w:cs="Times New Roman"/>
          <w:sz w:val="20"/>
          <w:szCs w:val="20"/>
        </w:rPr>
        <w:fldChar w:fldCharType="begin"/>
      </w:r>
      <w:r w:rsidRPr="00A04969">
        <w:rPr>
          <w:rFonts w:ascii="Times New Roman" w:hAnsi="Times New Roman" w:cs="Times New Roman"/>
          <w:sz w:val="20"/>
          <w:szCs w:val="20"/>
        </w:rPr>
        <w:instrText xml:space="preserve"> NOTEREF _Ref333606215 \h </w:instrText>
      </w:r>
      <w:r w:rsidRPr="00A04969">
        <w:rPr>
          <w:rFonts w:ascii="Times New Roman" w:hAnsi="Times New Roman" w:cs="Times New Roman"/>
          <w:sz w:val="20"/>
          <w:szCs w:val="20"/>
        </w:rPr>
      </w:r>
      <w:r w:rsidRPr="00A04969">
        <w:rPr>
          <w:rFonts w:ascii="Times New Roman" w:hAnsi="Times New Roman" w:cs="Times New Roman"/>
          <w:sz w:val="20"/>
          <w:szCs w:val="20"/>
        </w:rPr>
        <w:fldChar w:fldCharType="separate"/>
      </w:r>
      <w:r>
        <w:rPr>
          <w:rFonts w:ascii="Times New Roman" w:hAnsi="Times New Roman" w:cs="Times New Roman"/>
          <w:sz w:val="20"/>
          <w:szCs w:val="20"/>
        </w:rPr>
        <w:t>161</w:t>
      </w:r>
      <w:r w:rsidRPr="00A04969">
        <w:rPr>
          <w:rFonts w:ascii="Times New Roman" w:hAnsi="Times New Roman" w:cs="Times New Roman"/>
          <w:sz w:val="20"/>
          <w:szCs w:val="20"/>
        </w:rPr>
        <w:fldChar w:fldCharType="end"/>
      </w:r>
      <w:r w:rsidRPr="00A04969">
        <w:rPr>
          <w:rFonts w:ascii="Times New Roman" w:hAnsi="Times New Roman" w:cs="Times New Roman"/>
          <w:sz w:val="20"/>
          <w:szCs w:val="20"/>
        </w:rPr>
        <w:t xml:space="preserve"> at 18, 9.</w:t>
      </w:r>
    </w:p>
  </w:footnote>
  <w:footnote w:id="199">
    <w:p w14:paraId="06D5A1A4" w14:textId="353A98FE"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proofErr w:type="gramStart"/>
      <w:r w:rsidRPr="00A04969">
        <w:rPr>
          <w:rFonts w:ascii="Times New Roman" w:hAnsi="Times New Roman" w:cs="Times New Roman"/>
          <w:sz w:val="20"/>
          <w:szCs w:val="20"/>
        </w:rPr>
        <w:t xml:space="preserve">PAME Offshore Oil and Gas, </w:t>
      </w:r>
      <w:r w:rsidRPr="00A04969">
        <w:rPr>
          <w:rFonts w:ascii="Times New Roman" w:hAnsi="Times New Roman" w:cs="Times New Roman"/>
          <w:i/>
          <w:sz w:val="20"/>
          <w:szCs w:val="20"/>
        </w:rPr>
        <w:t>supra</w:t>
      </w:r>
      <w:r w:rsidRPr="00A04969">
        <w:rPr>
          <w:rFonts w:ascii="Times New Roman" w:hAnsi="Times New Roman" w:cs="Times New Roman"/>
          <w:sz w:val="20"/>
          <w:szCs w:val="20"/>
        </w:rPr>
        <w:t xml:space="preserve"> n. </w:t>
      </w:r>
      <w:r w:rsidRPr="00A04969">
        <w:rPr>
          <w:rFonts w:ascii="Times New Roman" w:hAnsi="Times New Roman" w:cs="Times New Roman"/>
          <w:sz w:val="20"/>
          <w:szCs w:val="20"/>
        </w:rPr>
        <w:fldChar w:fldCharType="begin"/>
      </w:r>
      <w:r w:rsidRPr="00A04969">
        <w:rPr>
          <w:rFonts w:ascii="Times New Roman" w:hAnsi="Times New Roman" w:cs="Times New Roman"/>
          <w:sz w:val="20"/>
          <w:szCs w:val="20"/>
        </w:rPr>
        <w:instrText xml:space="preserve"> NOTEREF _Ref333994849 \h </w:instrText>
      </w:r>
      <w:r w:rsidRPr="00A04969">
        <w:rPr>
          <w:rFonts w:ascii="Times New Roman" w:hAnsi="Times New Roman" w:cs="Times New Roman"/>
          <w:sz w:val="20"/>
          <w:szCs w:val="20"/>
        </w:rPr>
      </w:r>
      <w:r w:rsidRPr="00A04969">
        <w:rPr>
          <w:rFonts w:ascii="Times New Roman" w:hAnsi="Times New Roman" w:cs="Times New Roman"/>
          <w:sz w:val="20"/>
          <w:szCs w:val="20"/>
        </w:rPr>
        <w:fldChar w:fldCharType="separate"/>
      </w:r>
      <w:r>
        <w:rPr>
          <w:rFonts w:ascii="Times New Roman" w:hAnsi="Times New Roman" w:cs="Times New Roman"/>
          <w:sz w:val="20"/>
          <w:szCs w:val="20"/>
        </w:rPr>
        <w:t>78</w:t>
      </w:r>
      <w:r w:rsidRPr="00A04969">
        <w:rPr>
          <w:rFonts w:ascii="Times New Roman" w:hAnsi="Times New Roman" w:cs="Times New Roman"/>
          <w:sz w:val="20"/>
          <w:szCs w:val="20"/>
        </w:rPr>
        <w:fldChar w:fldCharType="end"/>
      </w:r>
      <w:r w:rsidRPr="00A04969">
        <w:rPr>
          <w:rFonts w:ascii="Times New Roman" w:hAnsi="Times New Roman" w:cs="Times New Roman"/>
          <w:sz w:val="20"/>
          <w:szCs w:val="20"/>
        </w:rPr>
        <w:t xml:space="preserve"> at 12.</w:t>
      </w:r>
      <w:proofErr w:type="gramEnd"/>
    </w:p>
  </w:footnote>
  <w:footnote w:id="200">
    <w:p w14:paraId="2D655094" w14:textId="51E14B67" w:rsidR="00D43BBB" w:rsidRPr="00A04969" w:rsidRDefault="00D43BBB" w:rsidP="002420B7">
      <w:pPr>
        <w:widowControl w:val="0"/>
        <w:autoSpaceDE w:val="0"/>
        <w:autoSpaceDN w:val="0"/>
        <w:adjustRightInd w:val="0"/>
        <w:rPr>
          <w:sz w:val="20"/>
          <w:szCs w:val="20"/>
        </w:rPr>
      </w:pPr>
      <w:r w:rsidRPr="00A04969">
        <w:rPr>
          <w:rStyle w:val="FootnoteReference"/>
          <w:sz w:val="20"/>
          <w:szCs w:val="20"/>
        </w:rPr>
        <w:footnoteRef/>
      </w:r>
      <w:r w:rsidRPr="00A04969">
        <w:rPr>
          <w:sz w:val="20"/>
          <w:szCs w:val="20"/>
        </w:rPr>
        <w:t xml:space="preserve"> UN-REDD Guidelines on FPIC, supra n. </w:t>
      </w:r>
      <w:r w:rsidRPr="00A04969">
        <w:rPr>
          <w:sz w:val="20"/>
          <w:szCs w:val="20"/>
        </w:rPr>
        <w:fldChar w:fldCharType="begin"/>
      </w:r>
      <w:r w:rsidRPr="00A04969">
        <w:rPr>
          <w:sz w:val="20"/>
          <w:szCs w:val="20"/>
        </w:rPr>
        <w:instrText xml:space="preserve"> NOTEREF _Ref334002225 \h </w:instrText>
      </w:r>
      <w:r w:rsidRPr="00A04969">
        <w:rPr>
          <w:sz w:val="20"/>
          <w:szCs w:val="20"/>
        </w:rPr>
      </w:r>
      <w:r w:rsidRPr="00A04969">
        <w:rPr>
          <w:sz w:val="20"/>
          <w:szCs w:val="20"/>
        </w:rPr>
        <w:fldChar w:fldCharType="separate"/>
      </w:r>
      <w:r>
        <w:rPr>
          <w:sz w:val="20"/>
          <w:szCs w:val="20"/>
        </w:rPr>
        <w:t>153</w:t>
      </w:r>
      <w:r w:rsidRPr="00A04969">
        <w:rPr>
          <w:sz w:val="20"/>
          <w:szCs w:val="20"/>
        </w:rPr>
        <w:fldChar w:fldCharType="end"/>
      </w:r>
      <w:r w:rsidRPr="00A04969">
        <w:rPr>
          <w:sz w:val="20"/>
          <w:szCs w:val="20"/>
        </w:rPr>
        <w:t xml:space="preserve"> at 39 (quoting Rep. of the Economic and Social Council, Jan. 17, 2005– Jan. 19, 2005, U.N. Doc. E/C.19/2005/3); </w:t>
      </w:r>
      <w:r w:rsidRPr="00A04969">
        <w:rPr>
          <w:rFonts w:eastAsia="Times New Roman"/>
          <w:color w:val="000000"/>
          <w:sz w:val="20"/>
          <w:szCs w:val="20"/>
          <w:lang w:val="en-US"/>
        </w:rPr>
        <w:t xml:space="preserve">IARPC Principles, </w:t>
      </w:r>
      <w:r w:rsidRPr="00A04969">
        <w:rPr>
          <w:rFonts w:eastAsia="Times New Roman"/>
          <w:i/>
          <w:color w:val="000000"/>
          <w:sz w:val="20"/>
          <w:szCs w:val="20"/>
          <w:lang w:val="en-US"/>
        </w:rPr>
        <w:t>supra</w:t>
      </w:r>
      <w:r w:rsidRPr="00A04969">
        <w:rPr>
          <w:rFonts w:eastAsia="Times New Roman"/>
          <w:color w:val="000000"/>
          <w:sz w:val="20"/>
          <w:szCs w:val="20"/>
          <w:lang w:val="en-US"/>
        </w:rPr>
        <w:t xml:space="preserve"> n. </w:t>
      </w:r>
      <w:r w:rsidRPr="00A04969">
        <w:rPr>
          <w:rFonts w:eastAsia="Times New Roman"/>
          <w:color w:val="000000"/>
          <w:sz w:val="20"/>
          <w:szCs w:val="20"/>
          <w:lang w:val="en-US"/>
        </w:rPr>
        <w:fldChar w:fldCharType="begin"/>
      </w:r>
      <w:r w:rsidRPr="00A04969">
        <w:rPr>
          <w:rFonts w:eastAsia="Times New Roman"/>
          <w:color w:val="000000"/>
          <w:sz w:val="20"/>
          <w:szCs w:val="20"/>
          <w:lang w:val="en-US"/>
        </w:rPr>
        <w:instrText xml:space="preserve"> NOTEREF _Ref334083103 \h </w:instrText>
      </w:r>
      <w:r w:rsidRPr="00A04969">
        <w:rPr>
          <w:rFonts w:eastAsia="Times New Roman"/>
          <w:color w:val="000000"/>
          <w:sz w:val="20"/>
          <w:szCs w:val="20"/>
          <w:lang w:val="en-US"/>
        </w:rPr>
      </w:r>
      <w:r w:rsidRPr="00A04969">
        <w:rPr>
          <w:rFonts w:eastAsia="Times New Roman"/>
          <w:color w:val="000000"/>
          <w:sz w:val="20"/>
          <w:szCs w:val="20"/>
          <w:lang w:val="en-US"/>
        </w:rPr>
        <w:fldChar w:fldCharType="separate"/>
      </w:r>
      <w:r>
        <w:rPr>
          <w:rFonts w:eastAsia="Times New Roman"/>
          <w:color w:val="000000"/>
          <w:sz w:val="20"/>
          <w:szCs w:val="20"/>
          <w:lang w:val="en-US"/>
        </w:rPr>
        <w:t>57</w:t>
      </w:r>
      <w:r w:rsidRPr="00A04969">
        <w:rPr>
          <w:rFonts w:eastAsia="Times New Roman"/>
          <w:color w:val="000000"/>
          <w:sz w:val="20"/>
          <w:szCs w:val="20"/>
          <w:lang w:val="en-US"/>
        </w:rPr>
        <w:fldChar w:fldCharType="end"/>
      </w:r>
      <w:r w:rsidRPr="00A04969">
        <w:rPr>
          <w:rFonts w:eastAsia="Times New Roman"/>
          <w:color w:val="000000"/>
          <w:sz w:val="20"/>
          <w:szCs w:val="20"/>
          <w:lang w:val="en-US"/>
        </w:rPr>
        <w:t>.</w:t>
      </w:r>
    </w:p>
  </w:footnote>
  <w:footnote w:id="201">
    <w:p w14:paraId="0AE7CCE7" w14:textId="55F350DC"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proofErr w:type="gramStart"/>
      <w:r w:rsidRPr="00A04969">
        <w:rPr>
          <w:rFonts w:ascii="Times New Roman" w:hAnsi="Times New Roman" w:cs="Times New Roman"/>
          <w:sz w:val="20"/>
          <w:szCs w:val="20"/>
        </w:rPr>
        <w:t xml:space="preserve">PAME Offshore Oil and Gas, </w:t>
      </w:r>
      <w:r w:rsidRPr="00A04969">
        <w:rPr>
          <w:rFonts w:ascii="Times New Roman" w:hAnsi="Times New Roman" w:cs="Times New Roman"/>
          <w:i/>
          <w:sz w:val="20"/>
          <w:szCs w:val="20"/>
        </w:rPr>
        <w:t>supra</w:t>
      </w:r>
      <w:r w:rsidRPr="00A04969">
        <w:rPr>
          <w:rFonts w:ascii="Times New Roman" w:hAnsi="Times New Roman" w:cs="Times New Roman"/>
          <w:sz w:val="20"/>
          <w:szCs w:val="20"/>
        </w:rPr>
        <w:t xml:space="preserve"> n. </w:t>
      </w:r>
      <w:r w:rsidRPr="00A04969">
        <w:rPr>
          <w:rFonts w:ascii="Times New Roman" w:hAnsi="Times New Roman" w:cs="Times New Roman"/>
          <w:sz w:val="20"/>
          <w:szCs w:val="20"/>
        </w:rPr>
        <w:fldChar w:fldCharType="begin"/>
      </w:r>
      <w:r w:rsidRPr="00A04969">
        <w:rPr>
          <w:rFonts w:ascii="Times New Roman" w:hAnsi="Times New Roman" w:cs="Times New Roman"/>
          <w:sz w:val="20"/>
          <w:szCs w:val="20"/>
        </w:rPr>
        <w:instrText xml:space="preserve"> NOTEREF _Ref333994849 \h </w:instrText>
      </w:r>
      <w:r w:rsidRPr="00A04969">
        <w:rPr>
          <w:rFonts w:ascii="Times New Roman" w:hAnsi="Times New Roman" w:cs="Times New Roman"/>
          <w:sz w:val="20"/>
          <w:szCs w:val="20"/>
        </w:rPr>
      </w:r>
      <w:r w:rsidRPr="00A04969">
        <w:rPr>
          <w:rFonts w:ascii="Times New Roman" w:hAnsi="Times New Roman" w:cs="Times New Roman"/>
          <w:sz w:val="20"/>
          <w:szCs w:val="20"/>
        </w:rPr>
        <w:fldChar w:fldCharType="separate"/>
      </w:r>
      <w:r>
        <w:rPr>
          <w:rFonts w:ascii="Times New Roman" w:hAnsi="Times New Roman" w:cs="Times New Roman"/>
          <w:sz w:val="20"/>
          <w:szCs w:val="20"/>
        </w:rPr>
        <w:t>78</w:t>
      </w:r>
      <w:r w:rsidRPr="00A04969">
        <w:rPr>
          <w:rFonts w:ascii="Times New Roman" w:hAnsi="Times New Roman" w:cs="Times New Roman"/>
          <w:sz w:val="20"/>
          <w:szCs w:val="20"/>
        </w:rPr>
        <w:fldChar w:fldCharType="end"/>
      </w:r>
      <w:r w:rsidRPr="00A04969">
        <w:rPr>
          <w:rFonts w:ascii="Times New Roman" w:hAnsi="Times New Roman" w:cs="Times New Roman"/>
          <w:sz w:val="20"/>
          <w:szCs w:val="20"/>
        </w:rPr>
        <w:t xml:space="preserve"> at 10.</w:t>
      </w:r>
      <w:proofErr w:type="gramEnd"/>
    </w:p>
  </w:footnote>
  <w:footnote w:id="202">
    <w:p w14:paraId="0E70F03C" w14:textId="7BB2516B" w:rsidR="00D43BBB" w:rsidRPr="00A04969" w:rsidRDefault="00D43BBB" w:rsidP="002420B7">
      <w:pPr>
        <w:widowControl w:val="0"/>
        <w:autoSpaceDE w:val="0"/>
        <w:autoSpaceDN w:val="0"/>
        <w:adjustRightInd w:val="0"/>
        <w:rPr>
          <w:sz w:val="20"/>
          <w:szCs w:val="20"/>
          <w:lang w:val="en-US"/>
        </w:rPr>
      </w:pPr>
      <w:r w:rsidRPr="00A04969">
        <w:rPr>
          <w:rStyle w:val="FootnoteReference"/>
          <w:sz w:val="20"/>
          <w:szCs w:val="20"/>
        </w:rPr>
        <w:footnoteRef/>
      </w:r>
      <w:r w:rsidRPr="00A04969">
        <w:rPr>
          <w:sz w:val="20"/>
          <w:szCs w:val="20"/>
        </w:rPr>
        <w:t xml:space="preserve"> </w:t>
      </w:r>
      <w:r w:rsidRPr="00A04969">
        <w:rPr>
          <w:sz w:val="20"/>
          <w:szCs w:val="20"/>
          <w:lang w:val="en-US"/>
        </w:rPr>
        <w:t>Inuit Circumpolar Council-Alaska, Alaskan Inuit Food Security Conceptual Framework: How To Assess The Arctic From An Inuit Perspective Summary And Recommendations Report (2015).</w:t>
      </w:r>
    </w:p>
  </w:footnote>
  <w:footnote w:id="203">
    <w:p w14:paraId="6BD35365" w14:textId="4934C2E0"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proofErr w:type="gramStart"/>
      <w:r w:rsidRPr="00A04969">
        <w:rPr>
          <w:rFonts w:ascii="Times New Roman" w:hAnsi="Times New Roman" w:cs="Times New Roman"/>
          <w:sz w:val="20"/>
          <w:szCs w:val="20"/>
        </w:rPr>
        <w:t>Edmonson, E.</w:t>
      </w:r>
      <w:proofErr w:type="gramEnd"/>
      <w:r w:rsidRPr="00A04969">
        <w:rPr>
          <w:rFonts w:ascii="Times New Roman" w:hAnsi="Times New Roman" w:cs="Times New Roman"/>
          <w:sz w:val="20"/>
          <w:szCs w:val="20"/>
        </w:rPr>
        <w:t xml:space="preserve">  </w:t>
      </w:r>
    </w:p>
  </w:footnote>
  <w:footnote w:id="204">
    <w:p w14:paraId="2E745822" w14:textId="5317459D"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Environmental Law Institute,</w:t>
      </w:r>
      <w:r w:rsidRPr="00A04969">
        <w:rPr>
          <w:rFonts w:ascii="Times New Roman" w:hAnsi="Times New Roman" w:cs="Times New Roman"/>
          <w:i/>
          <w:iCs/>
          <w:sz w:val="20"/>
          <w:szCs w:val="20"/>
        </w:rPr>
        <w:t xml:space="preserve"> </w:t>
      </w:r>
      <w:r w:rsidRPr="00A04969">
        <w:rPr>
          <w:rFonts w:ascii="Times New Roman" w:hAnsi="Times New Roman" w:cs="Times New Roman"/>
          <w:iCs/>
          <w:sz w:val="20"/>
          <w:szCs w:val="20"/>
        </w:rPr>
        <w:t>Climate &amp; Communities: Conducting Marine Research in a Changing Arctic</w:t>
      </w:r>
      <w:r w:rsidRPr="00A04969">
        <w:rPr>
          <w:rFonts w:ascii="Times New Roman" w:hAnsi="Times New Roman" w:cs="Times New Roman"/>
          <w:sz w:val="20"/>
          <w:szCs w:val="20"/>
        </w:rPr>
        <w:t xml:space="preserve"> at 52 (2014) [hereinafter ELI Marine Research].</w:t>
      </w:r>
    </w:p>
  </w:footnote>
  <w:footnote w:id="205">
    <w:p w14:paraId="42EE8B94" w14:textId="17231820"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proofErr w:type="gramStart"/>
      <w:r w:rsidRPr="00A04969">
        <w:rPr>
          <w:rFonts w:ascii="Times New Roman" w:hAnsi="Times New Roman" w:cs="Times New Roman"/>
          <w:i/>
          <w:sz w:val="20"/>
          <w:szCs w:val="20"/>
        </w:rPr>
        <w:t>See, e.g.,</w:t>
      </w:r>
      <w:r w:rsidRPr="00A04969">
        <w:rPr>
          <w:rFonts w:ascii="Times New Roman" w:hAnsi="Times New Roman" w:cs="Times New Roman"/>
          <w:sz w:val="20"/>
          <w:szCs w:val="20"/>
        </w:rPr>
        <w:t xml:space="preserve"> In This Place, </w:t>
      </w:r>
      <w:r w:rsidRPr="00A04969">
        <w:rPr>
          <w:rFonts w:ascii="Times New Roman" w:hAnsi="Times New Roman" w:cs="Times New Roman"/>
          <w:i/>
          <w:sz w:val="20"/>
          <w:szCs w:val="20"/>
        </w:rPr>
        <w:t>supra</w:t>
      </w:r>
      <w:r w:rsidRPr="00A04969">
        <w:rPr>
          <w:rFonts w:ascii="Times New Roman" w:hAnsi="Times New Roman" w:cs="Times New Roman"/>
          <w:sz w:val="20"/>
          <w:szCs w:val="20"/>
        </w:rPr>
        <w:t xml:space="preserve"> n. </w:t>
      </w:r>
      <w:r w:rsidRPr="00A04969">
        <w:rPr>
          <w:rFonts w:ascii="Times New Roman" w:hAnsi="Times New Roman" w:cs="Times New Roman"/>
          <w:sz w:val="20"/>
          <w:szCs w:val="20"/>
        </w:rPr>
        <w:fldChar w:fldCharType="begin"/>
      </w:r>
      <w:r w:rsidRPr="00A04969">
        <w:rPr>
          <w:rFonts w:ascii="Times New Roman" w:hAnsi="Times New Roman" w:cs="Times New Roman"/>
          <w:sz w:val="20"/>
          <w:szCs w:val="20"/>
        </w:rPr>
        <w:instrText xml:space="preserve"> NOTEREF _Ref333347831 </w:instrText>
      </w:r>
      <w:r w:rsidRPr="00A04969">
        <w:rPr>
          <w:rFonts w:ascii="Times New Roman" w:hAnsi="Times New Roman" w:cs="Times New Roman"/>
          <w:sz w:val="20"/>
          <w:szCs w:val="20"/>
        </w:rPr>
        <w:fldChar w:fldCharType="separate"/>
      </w:r>
      <w:r>
        <w:rPr>
          <w:rFonts w:ascii="Times New Roman" w:hAnsi="Times New Roman" w:cs="Times New Roman"/>
          <w:sz w:val="20"/>
          <w:szCs w:val="20"/>
        </w:rPr>
        <w:t>72</w:t>
      </w:r>
      <w:r w:rsidRPr="00A04969">
        <w:rPr>
          <w:rFonts w:ascii="Times New Roman" w:hAnsi="Times New Roman" w:cs="Times New Roman"/>
          <w:sz w:val="20"/>
          <w:szCs w:val="20"/>
        </w:rPr>
        <w:fldChar w:fldCharType="end"/>
      </w:r>
      <w:r w:rsidRPr="00A04969">
        <w:rPr>
          <w:rFonts w:ascii="Times New Roman" w:hAnsi="Times New Roman" w:cs="Times New Roman"/>
          <w:sz w:val="20"/>
          <w:szCs w:val="20"/>
        </w:rPr>
        <w:t>.</w:t>
      </w:r>
      <w:proofErr w:type="gramEnd"/>
    </w:p>
  </w:footnote>
  <w:footnote w:id="206">
    <w:p w14:paraId="2D3D309D" w14:textId="1BE118F8"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proofErr w:type="gramStart"/>
      <w:r w:rsidRPr="00A04969">
        <w:rPr>
          <w:rFonts w:ascii="Times New Roman" w:hAnsi="Times New Roman" w:cs="Times New Roman"/>
          <w:sz w:val="20"/>
          <w:szCs w:val="20"/>
        </w:rPr>
        <w:t xml:space="preserve">AANE Guidelines, </w:t>
      </w:r>
      <w:r w:rsidRPr="00A04969">
        <w:rPr>
          <w:rFonts w:ascii="Times New Roman" w:hAnsi="Times New Roman" w:cs="Times New Roman"/>
          <w:i/>
          <w:sz w:val="20"/>
          <w:szCs w:val="20"/>
        </w:rPr>
        <w:t>supra</w:t>
      </w:r>
      <w:r w:rsidRPr="00A04969">
        <w:rPr>
          <w:rFonts w:ascii="Times New Roman" w:hAnsi="Times New Roman" w:cs="Times New Roman"/>
          <w:sz w:val="20"/>
          <w:szCs w:val="20"/>
        </w:rPr>
        <w:t xml:space="preserve"> n. </w:t>
      </w:r>
      <w:r w:rsidRPr="00A04969">
        <w:rPr>
          <w:rFonts w:ascii="Times New Roman" w:hAnsi="Times New Roman" w:cs="Times New Roman"/>
          <w:sz w:val="20"/>
          <w:szCs w:val="20"/>
        </w:rPr>
        <w:fldChar w:fldCharType="begin"/>
      </w:r>
      <w:r w:rsidRPr="00A04969">
        <w:rPr>
          <w:rFonts w:ascii="Times New Roman" w:hAnsi="Times New Roman" w:cs="Times New Roman"/>
          <w:sz w:val="20"/>
          <w:szCs w:val="20"/>
        </w:rPr>
        <w:instrText xml:space="preserve"> NOTEREF _Ref333569950 </w:instrText>
      </w:r>
      <w:r w:rsidRPr="00A04969">
        <w:rPr>
          <w:rFonts w:ascii="Times New Roman" w:hAnsi="Times New Roman" w:cs="Times New Roman"/>
          <w:sz w:val="20"/>
          <w:szCs w:val="20"/>
        </w:rPr>
        <w:fldChar w:fldCharType="separate"/>
      </w:r>
      <w:r>
        <w:rPr>
          <w:rFonts w:ascii="Times New Roman" w:hAnsi="Times New Roman" w:cs="Times New Roman"/>
          <w:sz w:val="20"/>
          <w:szCs w:val="20"/>
        </w:rPr>
        <w:t>126</w:t>
      </w:r>
      <w:r w:rsidRPr="00A04969">
        <w:rPr>
          <w:rFonts w:ascii="Times New Roman" w:hAnsi="Times New Roman" w:cs="Times New Roman"/>
          <w:sz w:val="20"/>
          <w:szCs w:val="20"/>
        </w:rPr>
        <w:fldChar w:fldCharType="end"/>
      </w:r>
      <w:r w:rsidRPr="00A04969">
        <w:rPr>
          <w:rFonts w:ascii="Times New Roman" w:hAnsi="Times New Roman" w:cs="Times New Roman"/>
          <w:sz w:val="20"/>
          <w:szCs w:val="20"/>
        </w:rPr>
        <w:t>.</w:t>
      </w:r>
      <w:proofErr w:type="gramEnd"/>
    </w:p>
  </w:footnote>
  <w:footnote w:id="207">
    <w:p w14:paraId="2641BCBD" w14:textId="153E8377"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r w:rsidRPr="00A04969">
        <w:rPr>
          <w:rFonts w:ascii="Times New Roman" w:hAnsi="Times New Roman" w:cs="Times New Roman"/>
          <w:i/>
          <w:sz w:val="20"/>
          <w:szCs w:val="20"/>
        </w:rPr>
        <w:t>See, e.g.,</w:t>
      </w:r>
      <w:r w:rsidRPr="00A04969">
        <w:rPr>
          <w:rFonts w:ascii="Times New Roman" w:hAnsi="Times New Roman" w:cs="Times New Roman"/>
          <w:sz w:val="20"/>
          <w:szCs w:val="20"/>
        </w:rPr>
        <w:t xml:space="preserve"> Alaska Native Heritage Center Understanding Culture Workshop Series.</w:t>
      </w:r>
    </w:p>
  </w:footnote>
  <w:footnote w:id="208">
    <w:p w14:paraId="5A6C7279" w14:textId="31767CE2"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proofErr w:type="gramStart"/>
      <w:r w:rsidRPr="00A04969">
        <w:rPr>
          <w:rFonts w:ascii="Times New Roman" w:hAnsi="Times New Roman" w:cs="Times New Roman"/>
          <w:i/>
          <w:sz w:val="20"/>
          <w:szCs w:val="20"/>
        </w:rPr>
        <w:t>See, e.g.,</w:t>
      </w:r>
      <w:r w:rsidRPr="00A04969">
        <w:rPr>
          <w:rFonts w:ascii="Times New Roman" w:hAnsi="Times New Roman" w:cs="Times New Roman"/>
          <w:sz w:val="20"/>
          <w:szCs w:val="20"/>
        </w:rPr>
        <w:t xml:space="preserve"> NOAA 13175 Policy, </w:t>
      </w:r>
      <w:r w:rsidRPr="00A04969">
        <w:rPr>
          <w:rFonts w:ascii="Times New Roman" w:hAnsi="Times New Roman" w:cs="Times New Roman"/>
          <w:i/>
          <w:sz w:val="20"/>
          <w:szCs w:val="20"/>
        </w:rPr>
        <w:t>supra</w:t>
      </w:r>
      <w:r w:rsidRPr="00A04969">
        <w:rPr>
          <w:rFonts w:ascii="Times New Roman" w:hAnsi="Times New Roman" w:cs="Times New Roman"/>
          <w:sz w:val="20"/>
          <w:szCs w:val="20"/>
        </w:rPr>
        <w:t xml:space="preserve"> n. </w:t>
      </w:r>
      <w:r w:rsidRPr="00A04969">
        <w:rPr>
          <w:rFonts w:ascii="Times New Roman" w:hAnsi="Times New Roman" w:cs="Times New Roman"/>
          <w:sz w:val="20"/>
          <w:szCs w:val="20"/>
        </w:rPr>
        <w:fldChar w:fldCharType="begin"/>
      </w:r>
      <w:r w:rsidRPr="00A04969">
        <w:rPr>
          <w:rFonts w:ascii="Times New Roman" w:hAnsi="Times New Roman" w:cs="Times New Roman"/>
          <w:sz w:val="20"/>
          <w:szCs w:val="20"/>
        </w:rPr>
        <w:instrText xml:space="preserve"> NOTEREF _Ref334002328 \h </w:instrText>
      </w:r>
      <w:r w:rsidRPr="00A04969">
        <w:rPr>
          <w:rFonts w:ascii="Times New Roman" w:hAnsi="Times New Roman" w:cs="Times New Roman"/>
          <w:sz w:val="20"/>
          <w:szCs w:val="20"/>
        </w:rPr>
      </w:r>
      <w:r w:rsidRPr="00A04969">
        <w:rPr>
          <w:rFonts w:ascii="Times New Roman" w:hAnsi="Times New Roman" w:cs="Times New Roman"/>
          <w:sz w:val="20"/>
          <w:szCs w:val="20"/>
        </w:rPr>
        <w:fldChar w:fldCharType="separate"/>
      </w:r>
      <w:r>
        <w:rPr>
          <w:rFonts w:ascii="Times New Roman" w:hAnsi="Times New Roman" w:cs="Times New Roman"/>
          <w:sz w:val="20"/>
          <w:szCs w:val="20"/>
        </w:rPr>
        <w:t>139</w:t>
      </w:r>
      <w:r w:rsidRPr="00A04969">
        <w:rPr>
          <w:rFonts w:ascii="Times New Roman" w:hAnsi="Times New Roman" w:cs="Times New Roman"/>
          <w:sz w:val="20"/>
          <w:szCs w:val="20"/>
        </w:rPr>
        <w:fldChar w:fldCharType="end"/>
      </w:r>
      <w:r w:rsidRPr="00A04969">
        <w:rPr>
          <w:rFonts w:ascii="Times New Roman" w:hAnsi="Times New Roman" w:cs="Times New Roman"/>
          <w:sz w:val="20"/>
          <w:szCs w:val="20"/>
        </w:rPr>
        <w:t xml:space="preserve"> at 8.</w:t>
      </w:r>
      <w:proofErr w:type="gramEnd"/>
    </w:p>
  </w:footnote>
  <w:footnote w:id="209">
    <w:p w14:paraId="1050FB6A" w14:textId="10F56452" w:rsidR="00D43BBB" w:rsidRPr="00A04969" w:rsidRDefault="00D43BBB" w:rsidP="002420B7">
      <w:pPr>
        <w:widowControl w:val="0"/>
        <w:autoSpaceDE w:val="0"/>
        <w:autoSpaceDN w:val="0"/>
        <w:adjustRightInd w:val="0"/>
        <w:rPr>
          <w:sz w:val="20"/>
          <w:szCs w:val="20"/>
          <w:lang w:val="en-US"/>
        </w:rPr>
      </w:pPr>
      <w:r w:rsidRPr="00A04969">
        <w:rPr>
          <w:rStyle w:val="FootnoteReference"/>
          <w:sz w:val="20"/>
          <w:szCs w:val="20"/>
        </w:rPr>
        <w:footnoteRef/>
      </w:r>
      <w:r w:rsidRPr="00A04969">
        <w:rPr>
          <w:sz w:val="20"/>
          <w:szCs w:val="20"/>
        </w:rPr>
        <w:t xml:space="preserve"> Bartley, K., et al, </w:t>
      </w:r>
      <w:r w:rsidRPr="00A04969">
        <w:rPr>
          <w:bCs/>
          <w:i/>
          <w:sz w:val="20"/>
          <w:szCs w:val="20"/>
          <w:lang w:val="en-US"/>
        </w:rPr>
        <w:t>supra</w:t>
      </w:r>
      <w:r w:rsidRPr="00A04969">
        <w:rPr>
          <w:bCs/>
          <w:sz w:val="20"/>
          <w:szCs w:val="20"/>
          <w:lang w:val="en-US"/>
        </w:rPr>
        <w:t xml:space="preserve"> n. </w:t>
      </w:r>
      <w:r w:rsidRPr="00A04969">
        <w:rPr>
          <w:bCs/>
          <w:sz w:val="20"/>
          <w:szCs w:val="20"/>
          <w:lang w:val="en-US"/>
        </w:rPr>
        <w:fldChar w:fldCharType="begin"/>
      </w:r>
      <w:r w:rsidRPr="00A04969">
        <w:rPr>
          <w:bCs/>
          <w:sz w:val="20"/>
          <w:szCs w:val="20"/>
          <w:lang w:val="en-US"/>
        </w:rPr>
        <w:instrText xml:space="preserve"> NOTEREF _Ref334080323 \h </w:instrText>
      </w:r>
      <w:r w:rsidRPr="00A04969">
        <w:rPr>
          <w:bCs/>
          <w:sz w:val="20"/>
          <w:szCs w:val="20"/>
          <w:lang w:val="en-US"/>
        </w:rPr>
      </w:r>
      <w:r w:rsidRPr="00A04969">
        <w:rPr>
          <w:bCs/>
          <w:sz w:val="20"/>
          <w:szCs w:val="20"/>
          <w:lang w:val="en-US"/>
        </w:rPr>
        <w:fldChar w:fldCharType="separate"/>
      </w:r>
      <w:r>
        <w:rPr>
          <w:bCs/>
          <w:sz w:val="20"/>
          <w:szCs w:val="20"/>
          <w:lang w:val="en-US"/>
        </w:rPr>
        <w:t>2</w:t>
      </w:r>
      <w:r w:rsidRPr="00A04969">
        <w:rPr>
          <w:bCs/>
          <w:sz w:val="20"/>
          <w:szCs w:val="20"/>
          <w:lang w:val="en-US"/>
        </w:rPr>
        <w:fldChar w:fldCharType="end"/>
      </w:r>
      <w:r w:rsidRPr="00A04969">
        <w:rPr>
          <w:bCs/>
          <w:sz w:val="20"/>
          <w:szCs w:val="20"/>
          <w:lang w:val="en-US"/>
        </w:rPr>
        <w:t xml:space="preserve"> </w:t>
      </w:r>
      <w:r w:rsidRPr="00A04969">
        <w:rPr>
          <w:sz w:val="20"/>
          <w:szCs w:val="20"/>
          <w:lang w:val="en-US"/>
        </w:rPr>
        <w:t xml:space="preserve">at </w:t>
      </w:r>
      <w:proofErr w:type="gramStart"/>
      <w:r w:rsidRPr="00A04969">
        <w:rPr>
          <w:sz w:val="20"/>
          <w:szCs w:val="20"/>
          <w:lang w:val="en-US"/>
        </w:rPr>
        <w:t>36 .</w:t>
      </w:r>
      <w:proofErr w:type="gramEnd"/>
    </w:p>
  </w:footnote>
  <w:footnote w:id="210">
    <w:p w14:paraId="59B609FA" w14:textId="1A212ACB"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r w:rsidRPr="00A04969">
        <w:rPr>
          <w:rFonts w:ascii="Times New Roman" w:hAnsi="Times New Roman" w:cs="Times New Roman"/>
          <w:i/>
          <w:sz w:val="20"/>
          <w:szCs w:val="20"/>
        </w:rPr>
        <w:t>Id.</w:t>
      </w:r>
      <w:r w:rsidRPr="00A04969">
        <w:rPr>
          <w:rFonts w:ascii="Times New Roman" w:hAnsi="Times New Roman" w:cs="Times New Roman"/>
          <w:sz w:val="20"/>
          <w:szCs w:val="20"/>
        </w:rPr>
        <w:t xml:space="preserve"> </w:t>
      </w:r>
    </w:p>
  </w:footnote>
  <w:footnote w:id="211">
    <w:p w14:paraId="1A03C05D" w14:textId="05737EBF"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r w:rsidRPr="00A04969">
        <w:rPr>
          <w:rFonts w:ascii="Times New Roman" w:hAnsi="Times New Roman" w:cs="Times New Roman"/>
          <w:i/>
          <w:sz w:val="20"/>
          <w:szCs w:val="20"/>
        </w:rPr>
        <w:t>Id.</w:t>
      </w:r>
      <w:r w:rsidRPr="00A04969">
        <w:rPr>
          <w:rFonts w:ascii="Times New Roman" w:hAnsi="Times New Roman" w:cs="Times New Roman"/>
          <w:sz w:val="20"/>
          <w:szCs w:val="20"/>
        </w:rPr>
        <w:t xml:space="preserve"> at 36-37.</w:t>
      </w:r>
    </w:p>
  </w:footnote>
  <w:footnote w:id="212">
    <w:p w14:paraId="22D0FA89" w14:textId="613C6D16"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r w:rsidRPr="00A04969">
        <w:rPr>
          <w:rFonts w:ascii="Times New Roman" w:hAnsi="Times New Roman" w:cs="Times New Roman"/>
          <w:color w:val="1A1A1A"/>
          <w:sz w:val="20"/>
          <w:szCs w:val="20"/>
        </w:rPr>
        <w:t xml:space="preserve">Akwé Kon: Voluntary Guidelines, supra n. </w:t>
      </w:r>
      <w:r w:rsidRPr="00A04969">
        <w:rPr>
          <w:rFonts w:ascii="Times New Roman" w:hAnsi="Times New Roman" w:cs="Times New Roman"/>
          <w:color w:val="1A1A1A"/>
          <w:sz w:val="20"/>
          <w:szCs w:val="20"/>
        </w:rPr>
        <w:fldChar w:fldCharType="begin"/>
      </w:r>
      <w:r w:rsidRPr="00A04969">
        <w:rPr>
          <w:rFonts w:ascii="Times New Roman" w:hAnsi="Times New Roman" w:cs="Times New Roman"/>
          <w:color w:val="1A1A1A"/>
          <w:sz w:val="20"/>
          <w:szCs w:val="20"/>
        </w:rPr>
        <w:instrText xml:space="preserve"> NOTEREF _Ref333348796 \h </w:instrText>
      </w:r>
      <w:r w:rsidRPr="00A04969">
        <w:rPr>
          <w:rFonts w:ascii="Times New Roman" w:hAnsi="Times New Roman" w:cs="Times New Roman"/>
          <w:color w:val="1A1A1A"/>
          <w:sz w:val="20"/>
          <w:szCs w:val="20"/>
        </w:rPr>
      </w:r>
      <w:r w:rsidRPr="00A04969">
        <w:rPr>
          <w:rFonts w:ascii="Times New Roman" w:hAnsi="Times New Roman" w:cs="Times New Roman"/>
          <w:color w:val="1A1A1A"/>
          <w:sz w:val="20"/>
          <w:szCs w:val="20"/>
        </w:rPr>
        <w:fldChar w:fldCharType="separate"/>
      </w:r>
      <w:r>
        <w:rPr>
          <w:rFonts w:ascii="Times New Roman" w:hAnsi="Times New Roman" w:cs="Times New Roman"/>
          <w:color w:val="1A1A1A"/>
          <w:sz w:val="20"/>
          <w:szCs w:val="20"/>
        </w:rPr>
        <w:t>13</w:t>
      </w:r>
      <w:r w:rsidRPr="00A04969">
        <w:rPr>
          <w:rFonts w:ascii="Times New Roman" w:hAnsi="Times New Roman" w:cs="Times New Roman"/>
          <w:color w:val="1A1A1A"/>
          <w:sz w:val="20"/>
          <w:szCs w:val="20"/>
        </w:rPr>
        <w:fldChar w:fldCharType="end"/>
      </w:r>
      <w:r w:rsidRPr="00A04969">
        <w:rPr>
          <w:rFonts w:ascii="Times New Roman" w:hAnsi="Times New Roman" w:cs="Times New Roman"/>
          <w:color w:val="1A1A1A"/>
          <w:sz w:val="20"/>
          <w:szCs w:val="20"/>
        </w:rPr>
        <w:t xml:space="preserve"> at 10.</w:t>
      </w:r>
    </w:p>
  </w:footnote>
  <w:footnote w:id="213">
    <w:p w14:paraId="3455A9A2" w14:textId="3AC69A07" w:rsidR="00D43BBB" w:rsidRPr="00A04969" w:rsidRDefault="00D43BBB" w:rsidP="002420B7">
      <w:pPr>
        <w:rPr>
          <w:rFonts w:eastAsia="Times New Roman"/>
          <w:color w:val="000000"/>
          <w:sz w:val="20"/>
          <w:szCs w:val="20"/>
          <w:lang w:val="en-US"/>
        </w:rPr>
      </w:pPr>
      <w:r w:rsidRPr="00A04969">
        <w:rPr>
          <w:rStyle w:val="FootnoteReference"/>
          <w:sz w:val="20"/>
          <w:szCs w:val="20"/>
        </w:rPr>
        <w:footnoteRef/>
      </w:r>
      <w:r w:rsidRPr="00A04969">
        <w:rPr>
          <w:sz w:val="20"/>
          <w:szCs w:val="20"/>
        </w:rPr>
        <w:t xml:space="preserve"> </w:t>
      </w:r>
      <w:proofErr w:type="gramStart"/>
      <w:r w:rsidRPr="00A04969">
        <w:rPr>
          <w:sz w:val="20"/>
          <w:szCs w:val="20"/>
        </w:rPr>
        <w:t>AANE Guidelines</w:t>
      </w:r>
      <w:r w:rsidRPr="00A04969">
        <w:rPr>
          <w:rFonts w:eastAsia="Times New Roman"/>
          <w:color w:val="000000"/>
          <w:sz w:val="20"/>
          <w:szCs w:val="20"/>
          <w:lang w:val="en-US"/>
        </w:rPr>
        <w:t xml:space="preserve">, supra n. </w:t>
      </w:r>
      <w:r w:rsidRPr="00A04969">
        <w:rPr>
          <w:rFonts w:eastAsia="Times New Roman"/>
          <w:color w:val="000000"/>
          <w:sz w:val="20"/>
          <w:szCs w:val="20"/>
          <w:lang w:val="en-US"/>
        </w:rPr>
        <w:fldChar w:fldCharType="begin"/>
      </w:r>
      <w:r w:rsidRPr="00A04969">
        <w:rPr>
          <w:rFonts w:eastAsia="Times New Roman"/>
          <w:color w:val="000000"/>
          <w:sz w:val="20"/>
          <w:szCs w:val="20"/>
          <w:lang w:val="en-US"/>
        </w:rPr>
        <w:instrText xml:space="preserve"> NOTEREF _Ref333569950 \h </w:instrText>
      </w:r>
      <w:r w:rsidRPr="00A04969">
        <w:rPr>
          <w:rFonts w:eastAsia="Times New Roman"/>
          <w:color w:val="000000"/>
          <w:sz w:val="20"/>
          <w:szCs w:val="20"/>
          <w:lang w:val="en-US"/>
        </w:rPr>
      </w:r>
      <w:r w:rsidRPr="00A04969">
        <w:rPr>
          <w:rFonts w:eastAsia="Times New Roman"/>
          <w:color w:val="000000"/>
          <w:sz w:val="20"/>
          <w:szCs w:val="20"/>
          <w:lang w:val="en-US"/>
        </w:rPr>
        <w:fldChar w:fldCharType="separate"/>
      </w:r>
      <w:r>
        <w:rPr>
          <w:rFonts w:eastAsia="Times New Roman"/>
          <w:color w:val="000000"/>
          <w:sz w:val="20"/>
          <w:szCs w:val="20"/>
          <w:lang w:val="en-US"/>
        </w:rPr>
        <w:t>126</w:t>
      </w:r>
      <w:r w:rsidRPr="00A04969">
        <w:rPr>
          <w:rFonts w:eastAsia="Times New Roman"/>
          <w:color w:val="000000"/>
          <w:sz w:val="20"/>
          <w:szCs w:val="20"/>
          <w:lang w:val="en-US"/>
        </w:rPr>
        <w:fldChar w:fldCharType="end"/>
      </w:r>
      <w:r w:rsidRPr="00A04969">
        <w:rPr>
          <w:rFonts w:eastAsia="Times New Roman"/>
          <w:color w:val="000000"/>
          <w:sz w:val="20"/>
          <w:szCs w:val="20"/>
          <w:lang w:val="en-US"/>
        </w:rPr>
        <w:t xml:space="preserve"> at 15; IARPC Principles, </w:t>
      </w:r>
      <w:r w:rsidRPr="00A04969">
        <w:rPr>
          <w:rFonts w:eastAsia="Times New Roman"/>
          <w:i/>
          <w:color w:val="000000"/>
          <w:sz w:val="20"/>
          <w:szCs w:val="20"/>
          <w:lang w:val="en-US"/>
        </w:rPr>
        <w:t>supra</w:t>
      </w:r>
      <w:r w:rsidRPr="00A04969">
        <w:rPr>
          <w:rFonts w:eastAsia="Times New Roman"/>
          <w:color w:val="000000"/>
          <w:sz w:val="20"/>
          <w:szCs w:val="20"/>
          <w:lang w:val="en-US"/>
        </w:rPr>
        <w:t xml:space="preserve"> n. </w:t>
      </w:r>
      <w:r w:rsidRPr="00A04969">
        <w:rPr>
          <w:rFonts w:eastAsia="Times New Roman"/>
          <w:color w:val="000000"/>
          <w:sz w:val="20"/>
          <w:szCs w:val="20"/>
          <w:lang w:val="en-US"/>
        </w:rPr>
        <w:fldChar w:fldCharType="begin"/>
      </w:r>
      <w:r w:rsidRPr="00A04969">
        <w:rPr>
          <w:rFonts w:eastAsia="Times New Roman"/>
          <w:color w:val="000000"/>
          <w:sz w:val="20"/>
          <w:szCs w:val="20"/>
          <w:lang w:val="en-US"/>
        </w:rPr>
        <w:instrText xml:space="preserve"> NOTEREF _Ref334083103 \h </w:instrText>
      </w:r>
      <w:r w:rsidRPr="00A04969">
        <w:rPr>
          <w:rFonts w:eastAsia="Times New Roman"/>
          <w:color w:val="000000"/>
          <w:sz w:val="20"/>
          <w:szCs w:val="20"/>
          <w:lang w:val="en-US"/>
        </w:rPr>
      </w:r>
      <w:r w:rsidRPr="00A04969">
        <w:rPr>
          <w:rFonts w:eastAsia="Times New Roman"/>
          <w:color w:val="000000"/>
          <w:sz w:val="20"/>
          <w:szCs w:val="20"/>
          <w:lang w:val="en-US"/>
        </w:rPr>
        <w:fldChar w:fldCharType="separate"/>
      </w:r>
      <w:r>
        <w:rPr>
          <w:rFonts w:eastAsia="Times New Roman"/>
          <w:color w:val="000000"/>
          <w:sz w:val="20"/>
          <w:szCs w:val="20"/>
          <w:lang w:val="en-US"/>
        </w:rPr>
        <w:t>57</w:t>
      </w:r>
      <w:r w:rsidRPr="00A04969">
        <w:rPr>
          <w:rFonts w:eastAsia="Times New Roman"/>
          <w:color w:val="000000"/>
          <w:sz w:val="20"/>
          <w:szCs w:val="20"/>
          <w:lang w:val="en-US"/>
        </w:rPr>
        <w:fldChar w:fldCharType="end"/>
      </w:r>
      <w:r w:rsidRPr="00A04969">
        <w:rPr>
          <w:rFonts w:eastAsia="Times New Roman"/>
          <w:color w:val="000000"/>
          <w:sz w:val="20"/>
          <w:szCs w:val="20"/>
          <w:lang w:val="en-US"/>
        </w:rPr>
        <w:t xml:space="preserve">; </w:t>
      </w:r>
      <w:r w:rsidRPr="00A04969">
        <w:rPr>
          <w:sz w:val="20"/>
          <w:szCs w:val="20"/>
        </w:rPr>
        <w:t xml:space="preserve">ITK Guide for Communities, </w:t>
      </w:r>
      <w:r w:rsidRPr="00A04969">
        <w:rPr>
          <w:i/>
          <w:sz w:val="20"/>
          <w:szCs w:val="20"/>
        </w:rPr>
        <w:t>supra</w:t>
      </w:r>
      <w:r w:rsidRPr="00A04969">
        <w:rPr>
          <w:sz w:val="20"/>
          <w:szCs w:val="20"/>
        </w:rPr>
        <w:t xml:space="preserve"> n. </w:t>
      </w:r>
      <w:r w:rsidRPr="00A04969">
        <w:rPr>
          <w:sz w:val="20"/>
          <w:szCs w:val="20"/>
        </w:rPr>
        <w:fldChar w:fldCharType="begin"/>
      </w:r>
      <w:r w:rsidRPr="00A04969">
        <w:rPr>
          <w:sz w:val="20"/>
          <w:szCs w:val="20"/>
        </w:rPr>
        <w:instrText xml:space="preserve"> NOTEREF _Ref333378845 </w:instrText>
      </w:r>
      <w:r w:rsidRPr="00A04969">
        <w:rPr>
          <w:sz w:val="20"/>
          <w:szCs w:val="20"/>
        </w:rPr>
        <w:fldChar w:fldCharType="separate"/>
      </w:r>
      <w:r>
        <w:rPr>
          <w:sz w:val="20"/>
          <w:szCs w:val="20"/>
        </w:rPr>
        <w:t>73</w:t>
      </w:r>
      <w:r w:rsidRPr="00A04969">
        <w:rPr>
          <w:sz w:val="20"/>
          <w:szCs w:val="20"/>
        </w:rPr>
        <w:fldChar w:fldCharType="end"/>
      </w:r>
      <w:r w:rsidRPr="00A04969">
        <w:rPr>
          <w:sz w:val="20"/>
          <w:szCs w:val="20"/>
        </w:rPr>
        <w:t>.</w:t>
      </w:r>
      <w:proofErr w:type="gramEnd"/>
    </w:p>
  </w:footnote>
  <w:footnote w:id="214">
    <w:p w14:paraId="46281929" w14:textId="65783D53"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proofErr w:type="gramStart"/>
      <w:r w:rsidRPr="00A04969">
        <w:rPr>
          <w:rFonts w:ascii="Times New Roman" w:hAnsi="Times New Roman" w:cs="Times New Roman"/>
          <w:sz w:val="20"/>
          <w:szCs w:val="20"/>
        </w:rPr>
        <w:t>Yukon Umbrella Final Agreement (1993).</w:t>
      </w:r>
      <w:proofErr w:type="gramEnd"/>
    </w:p>
  </w:footnote>
  <w:footnote w:id="215">
    <w:p w14:paraId="673B24B4" w14:textId="75960FA5"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proofErr w:type="gramStart"/>
      <w:r w:rsidRPr="00A04969">
        <w:rPr>
          <w:rFonts w:ascii="Times New Roman" w:hAnsi="Times New Roman" w:cs="Times New Roman"/>
          <w:sz w:val="20"/>
          <w:szCs w:val="20"/>
        </w:rPr>
        <w:t xml:space="preserve">PAME Offshore Oil and Gas, </w:t>
      </w:r>
      <w:r w:rsidRPr="00A04969">
        <w:rPr>
          <w:rFonts w:ascii="Times New Roman" w:hAnsi="Times New Roman" w:cs="Times New Roman"/>
          <w:i/>
          <w:sz w:val="20"/>
          <w:szCs w:val="20"/>
        </w:rPr>
        <w:t>supra</w:t>
      </w:r>
      <w:r w:rsidRPr="00A04969">
        <w:rPr>
          <w:rFonts w:ascii="Times New Roman" w:hAnsi="Times New Roman" w:cs="Times New Roman"/>
          <w:sz w:val="20"/>
          <w:szCs w:val="20"/>
        </w:rPr>
        <w:t xml:space="preserve"> n. </w:t>
      </w:r>
      <w:r w:rsidRPr="00A04969">
        <w:rPr>
          <w:rFonts w:ascii="Times New Roman" w:hAnsi="Times New Roman" w:cs="Times New Roman"/>
          <w:sz w:val="20"/>
          <w:szCs w:val="20"/>
        </w:rPr>
        <w:fldChar w:fldCharType="begin"/>
      </w:r>
      <w:r w:rsidRPr="00A04969">
        <w:rPr>
          <w:rFonts w:ascii="Times New Roman" w:hAnsi="Times New Roman" w:cs="Times New Roman"/>
          <w:sz w:val="20"/>
          <w:szCs w:val="20"/>
        </w:rPr>
        <w:instrText xml:space="preserve"> NOTEREF _Ref333994849 \h </w:instrText>
      </w:r>
      <w:r w:rsidRPr="00A04969">
        <w:rPr>
          <w:rFonts w:ascii="Times New Roman" w:hAnsi="Times New Roman" w:cs="Times New Roman"/>
          <w:sz w:val="20"/>
          <w:szCs w:val="20"/>
        </w:rPr>
      </w:r>
      <w:r w:rsidRPr="00A04969">
        <w:rPr>
          <w:rFonts w:ascii="Times New Roman" w:hAnsi="Times New Roman" w:cs="Times New Roman"/>
          <w:sz w:val="20"/>
          <w:szCs w:val="20"/>
        </w:rPr>
        <w:fldChar w:fldCharType="separate"/>
      </w:r>
      <w:r>
        <w:rPr>
          <w:rFonts w:ascii="Times New Roman" w:hAnsi="Times New Roman" w:cs="Times New Roman"/>
          <w:sz w:val="20"/>
          <w:szCs w:val="20"/>
        </w:rPr>
        <w:t>78</w:t>
      </w:r>
      <w:r w:rsidRPr="00A04969">
        <w:rPr>
          <w:rFonts w:ascii="Times New Roman" w:hAnsi="Times New Roman" w:cs="Times New Roman"/>
          <w:sz w:val="20"/>
          <w:szCs w:val="20"/>
        </w:rPr>
        <w:fldChar w:fldCharType="end"/>
      </w:r>
      <w:r w:rsidRPr="00A04969">
        <w:rPr>
          <w:rFonts w:ascii="Times New Roman" w:hAnsi="Times New Roman" w:cs="Times New Roman"/>
          <w:sz w:val="20"/>
          <w:szCs w:val="20"/>
        </w:rPr>
        <w:t xml:space="preserve"> at 19.</w:t>
      </w:r>
      <w:proofErr w:type="gramEnd"/>
    </w:p>
  </w:footnote>
  <w:footnote w:id="216">
    <w:p w14:paraId="0B5A0700" w14:textId="6A8B2E8B"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proofErr w:type="gramStart"/>
      <w:r w:rsidRPr="00A04969">
        <w:rPr>
          <w:rFonts w:ascii="Times New Roman" w:hAnsi="Times New Roman" w:cs="Times New Roman"/>
          <w:sz w:val="20"/>
          <w:szCs w:val="20"/>
        </w:rPr>
        <w:t xml:space="preserve">NCAI Testimony, supra n. </w:t>
      </w:r>
      <w:r w:rsidRPr="00A04969">
        <w:rPr>
          <w:rFonts w:ascii="Times New Roman" w:hAnsi="Times New Roman" w:cs="Times New Roman"/>
          <w:sz w:val="20"/>
          <w:szCs w:val="20"/>
        </w:rPr>
        <w:fldChar w:fldCharType="begin"/>
      </w:r>
      <w:r w:rsidRPr="00A04969">
        <w:rPr>
          <w:rFonts w:ascii="Times New Roman" w:hAnsi="Times New Roman" w:cs="Times New Roman"/>
          <w:sz w:val="20"/>
          <w:szCs w:val="20"/>
        </w:rPr>
        <w:instrText xml:space="preserve"> NOTEREF _Ref334002602 \h </w:instrText>
      </w:r>
      <w:r w:rsidRPr="00A04969">
        <w:rPr>
          <w:rFonts w:ascii="Times New Roman" w:hAnsi="Times New Roman" w:cs="Times New Roman"/>
          <w:sz w:val="20"/>
          <w:szCs w:val="20"/>
        </w:rPr>
      </w:r>
      <w:r w:rsidRPr="00A04969">
        <w:rPr>
          <w:rFonts w:ascii="Times New Roman" w:hAnsi="Times New Roman" w:cs="Times New Roman"/>
          <w:sz w:val="20"/>
          <w:szCs w:val="20"/>
        </w:rPr>
        <w:fldChar w:fldCharType="separate"/>
      </w:r>
      <w:r>
        <w:rPr>
          <w:rFonts w:ascii="Times New Roman" w:hAnsi="Times New Roman" w:cs="Times New Roman"/>
          <w:sz w:val="20"/>
          <w:szCs w:val="20"/>
        </w:rPr>
        <w:t>119</w:t>
      </w:r>
      <w:r w:rsidRPr="00A04969">
        <w:rPr>
          <w:rFonts w:ascii="Times New Roman" w:hAnsi="Times New Roman" w:cs="Times New Roman"/>
          <w:sz w:val="20"/>
          <w:szCs w:val="20"/>
        </w:rPr>
        <w:fldChar w:fldCharType="end"/>
      </w:r>
      <w:r w:rsidRPr="00A04969">
        <w:rPr>
          <w:rFonts w:ascii="Times New Roman" w:hAnsi="Times New Roman" w:cs="Times New Roman"/>
          <w:sz w:val="20"/>
          <w:szCs w:val="20"/>
        </w:rPr>
        <w:t>.</w:t>
      </w:r>
      <w:proofErr w:type="gramEnd"/>
    </w:p>
  </w:footnote>
  <w:footnote w:id="217">
    <w:p w14:paraId="17CB3AF5" w14:textId="15C8CDD6"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proofErr w:type="gramStart"/>
      <w:r w:rsidRPr="00A04969">
        <w:rPr>
          <w:rFonts w:ascii="Times New Roman" w:hAnsi="Times New Roman" w:cs="Times New Roman"/>
          <w:sz w:val="20"/>
          <w:szCs w:val="20"/>
        </w:rPr>
        <w:t xml:space="preserve">Global Compact Best Practices, </w:t>
      </w:r>
      <w:r w:rsidRPr="00A04969">
        <w:rPr>
          <w:rFonts w:ascii="Times New Roman" w:hAnsi="Times New Roman" w:cs="Times New Roman"/>
          <w:i/>
          <w:sz w:val="20"/>
          <w:szCs w:val="20"/>
        </w:rPr>
        <w:t>supra</w:t>
      </w:r>
      <w:r w:rsidRPr="00A04969">
        <w:rPr>
          <w:rFonts w:ascii="Times New Roman" w:hAnsi="Times New Roman" w:cs="Times New Roman"/>
          <w:sz w:val="20"/>
          <w:szCs w:val="20"/>
        </w:rPr>
        <w:t xml:space="preserve"> n. </w:t>
      </w:r>
      <w:r w:rsidRPr="00A04969">
        <w:rPr>
          <w:rFonts w:ascii="Times New Roman" w:hAnsi="Times New Roman" w:cs="Times New Roman"/>
          <w:sz w:val="20"/>
          <w:szCs w:val="20"/>
        </w:rPr>
        <w:fldChar w:fldCharType="begin"/>
      </w:r>
      <w:r w:rsidRPr="00A04969">
        <w:rPr>
          <w:rFonts w:ascii="Times New Roman" w:hAnsi="Times New Roman" w:cs="Times New Roman"/>
          <w:sz w:val="20"/>
          <w:szCs w:val="20"/>
        </w:rPr>
        <w:instrText xml:space="preserve"> NOTEREF _Ref334080159 \h </w:instrText>
      </w:r>
      <w:r w:rsidRPr="00A04969">
        <w:rPr>
          <w:rFonts w:ascii="Times New Roman" w:hAnsi="Times New Roman" w:cs="Times New Roman"/>
          <w:sz w:val="20"/>
          <w:szCs w:val="20"/>
        </w:rPr>
      </w:r>
      <w:r w:rsidRPr="00A04969">
        <w:rPr>
          <w:rFonts w:ascii="Times New Roman" w:hAnsi="Times New Roman" w:cs="Times New Roman"/>
          <w:sz w:val="20"/>
          <w:szCs w:val="20"/>
        </w:rPr>
        <w:fldChar w:fldCharType="separate"/>
      </w:r>
      <w:r>
        <w:rPr>
          <w:rFonts w:ascii="Times New Roman" w:hAnsi="Times New Roman" w:cs="Times New Roman"/>
          <w:sz w:val="20"/>
          <w:szCs w:val="20"/>
        </w:rPr>
        <w:t>40</w:t>
      </w:r>
      <w:r w:rsidRPr="00A04969">
        <w:rPr>
          <w:rFonts w:ascii="Times New Roman" w:hAnsi="Times New Roman" w:cs="Times New Roman"/>
          <w:sz w:val="20"/>
          <w:szCs w:val="20"/>
        </w:rPr>
        <w:fldChar w:fldCharType="end"/>
      </w:r>
      <w:r w:rsidRPr="00A04969">
        <w:rPr>
          <w:rFonts w:ascii="Times New Roman" w:hAnsi="Times New Roman" w:cs="Times New Roman"/>
          <w:sz w:val="20"/>
          <w:szCs w:val="20"/>
        </w:rPr>
        <w:t xml:space="preserve"> at 16.</w:t>
      </w:r>
      <w:proofErr w:type="gramEnd"/>
    </w:p>
  </w:footnote>
  <w:footnote w:id="218">
    <w:p w14:paraId="546845F4" w14:textId="091E1B43"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proofErr w:type="gramStart"/>
      <w:r w:rsidRPr="00A04969">
        <w:rPr>
          <w:rFonts w:ascii="Times New Roman" w:hAnsi="Times New Roman" w:cs="Times New Roman"/>
          <w:bCs/>
          <w:sz w:val="20"/>
          <w:szCs w:val="20"/>
        </w:rPr>
        <w:t xml:space="preserve">CI Principles, </w:t>
      </w:r>
      <w:r w:rsidRPr="00A04969">
        <w:rPr>
          <w:rFonts w:ascii="Times New Roman" w:hAnsi="Times New Roman" w:cs="Times New Roman"/>
          <w:bCs/>
          <w:i/>
          <w:sz w:val="20"/>
          <w:szCs w:val="20"/>
        </w:rPr>
        <w:t>supra</w:t>
      </w:r>
      <w:r w:rsidRPr="00A04969">
        <w:rPr>
          <w:rFonts w:ascii="Times New Roman" w:hAnsi="Times New Roman" w:cs="Times New Roman"/>
          <w:bCs/>
          <w:sz w:val="20"/>
          <w:szCs w:val="20"/>
        </w:rPr>
        <w:t xml:space="preserve"> n. </w:t>
      </w:r>
      <w:r w:rsidRPr="00A04969">
        <w:rPr>
          <w:rFonts w:ascii="Times New Roman" w:hAnsi="Times New Roman" w:cs="Times New Roman"/>
          <w:bCs/>
          <w:sz w:val="20"/>
          <w:szCs w:val="20"/>
        </w:rPr>
        <w:fldChar w:fldCharType="begin"/>
      </w:r>
      <w:r w:rsidRPr="00A04969">
        <w:rPr>
          <w:rFonts w:ascii="Times New Roman" w:hAnsi="Times New Roman" w:cs="Times New Roman"/>
          <w:bCs/>
          <w:sz w:val="20"/>
          <w:szCs w:val="20"/>
        </w:rPr>
        <w:instrText xml:space="preserve"> NOTEREF _Ref334080485 \h </w:instrText>
      </w:r>
      <w:r w:rsidRPr="00A04969">
        <w:rPr>
          <w:rFonts w:ascii="Times New Roman" w:hAnsi="Times New Roman" w:cs="Times New Roman"/>
          <w:bCs/>
          <w:sz w:val="20"/>
          <w:szCs w:val="20"/>
        </w:rPr>
      </w:r>
      <w:r w:rsidRPr="00A04969">
        <w:rPr>
          <w:rFonts w:ascii="Times New Roman" w:hAnsi="Times New Roman" w:cs="Times New Roman"/>
          <w:bCs/>
          <w:sz w:val="20"/>
          <w:szCs w:val="20"/>
        </w:rPr>
        <w:fldChar w:fldCharType="separate"/>
      </w:r>
      <w:r>
        <w:rPr>
          <w:rFonts w:ascii="Times New Roman" w:hAnsi="Times New Roman" w:cs="Times New Roman"/>
          <w:bCs/>
          <w:sz w:val="20"/>
          <w:szCs w:val="20"/>
        </w:rPr>
        <w:t>60</w:t>
      </w:r>
      <w:r w:rsidRPr="00A04969">
        <w:rPr>
          <w:rFonts w:ascii="Times New Roman" w:hAnsi="Times New Roman" w:cs="Times New Roman"/>
          <w:bCs/>
          <w:sz w:val="20"/>
          <w:szCs w:val="20"/>
        </w:rPr>
        <w:fldChar w:fldCharType="end"/>
      </w:r>
      <w:r w:rsidRPr="00A04969">
        <w:rPr>
          <w:rFonts w:ascii="Times New Roman" w:hAnsi="Times New Roman" w:cs="Times New Roman"/>
          <w:bCs/>
          <w:sz w:val="20"/>
          <w:szCs w:val="20"/>
        </w:rPr>
        <w:t xml:space="preserve"> </w:t>
      </w:r>
      <w:r w:rsidRPr="00A04969">
        <w:rPr>
          <w:rFonts w:ascii="Times New Roman" w:hAnsi="Times New Roman" w:cs="Times New Roman"/>
          <w:sz w:val="20"/>
          <w:szCs w:val="20"/>
        </w:rPr>
        <w:t>at 2.</w:t>
      </w:r>
      <w:proofErr w:type="gramEnd"/>
    </w:p>
  </w:footnote>
  <w:footnote w:id="219">
    <w:p w14:paraId="4F8C2FF6" w14:textId="77777777"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r w:rsidRPr="00A04969">
        <w:rPr>
          <w:rFonts w:ascii="Times New Roman" w:hAnsi="Times New Roman" w:cs="Times New Roman"/>
          <w:i/>
          <w:sz w:val="20"/>
          <w:szCs w:val="20"/>
        </w:rPr>
        <w:t>Id.</w:t>
      </w:r>
    </w:p>
  </w:footnote>
  <w:footnote w:id="220">
    <w:p w14:paraId="51A13BCD" w14:textId="1949C2E3"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proofErr w:type="gramStart"/>
      <w:r w:rsidRPr="00A04969">
        <w:rPr>
          <w:rFonts w:ascii="Times New Roman" w:hAnsi="Times New Roman" w:cs="Times New Roman"/>
          <w:sz w:val="20"/>
          <w:szCs w:val="20"/>
        </w:rPr>
        <w:t xml:space="preserve">Carrier Sekani Tribal Council Perspectives, </w:t>
      </w:r>
      <w:r w:rsidRPr="00A04969">
        <w:rPr>
          <w:rFonts w:ascii="Times New Roman" w:hAnsi="Times New Roman" w:cs="Times New Roman"/>
          <w:i/>
          <w:sz w:val="20"/>
          <w:szCs w:val="20"/>
        </w:rPr>
        <w:t>supra</w:t>
      </w:r>
      <w:r w:rsidRPr="00A04969">
        <w:rPr>
          <w:rFonts w:ascii="Times New Roman" w:hAnsi="Times New Roman" w:cs="Times New Roman"/>
          <w:sz w:val="20"/>
          <w:szCs w:val="20"/>
        </w:rPr>
        <w:t xml:space="preserve"> n. </w:t>
      </w:r>
      <w:r w:rsidRPr="00A04969">
        <w:rPr>
          <w:rFonts w:ascii="Times New Roman" w:hAnsi="Times New Roman" w:cs="Times New Roman"/>
          <w:sz w:val="20"/>
          <w:szCs w:val="20"/>
        </w:rPr>
        <w:fldChar w:fldCharType="begin"/>
      </w:r>
      <w:r w:rsidRPr="00A04969">
        <w:rPr>
          <w:rFonts w:ascii="Times New Roman" w:hAnsi="Times New Roman" w:cs="Times New Roman"/>
          <w:sz w:val="20"/>
          <w:szCs w:val="20"/>
        </w:rPr>
        <w:instrText xml:space="preserve"> NOTEREF _Ref334001649 \h </w:instrText>
      </w:r>
      <w:r w:rsidRPr="00A04969">
        <w:rPr>
          <w:rFonts w:ascii="Times New Roman" w:hAnsi="Times New Roman" w:cs="Times New Roman"/>
          <w:sz w:val="20"/>
          <w:szCs w:val="20"/>
        </w:rPr>
      </w:r>
      <w:r w:rsidRPr="00A04969">
        <w:rPr>
          <w:rFonts w:ascii="Times New Roman" w:hAnsi="Times New Roman" w:cs="Times New Roman"/>
          <w:sz w:val="20"/>
          <w:szCs w:val="20"/>
        </w:rPr>
        <w:fldChar w:fldCharType="separate"/>
      </w:r>
      <w:r>
        <w:rPr>
          <w:rFonts w:ascii="Times New Roman" w:hAnsi="Times New Roman" w:cs="Times New Roman"/>
          <w:sz w:val="20"/>
          <w:szCs w:val="20"/>
        </w:rPr>
        <w:t>121</w:t>
      </w:r>
      <w:r w:rsidRPr="00A04969">
        <w:rPr>
          <w:rFonts w:ascii="Times New Roman" w:hAnsi="Times New Roman" w:cs="Times New Roman"/>
          <w:sz w:val="20"/>
          <w:szCs w:val="20"/>
        </w:rPr>
        <w:fldChar w:fldCharType="end"/>
      </w:r>
      <w:r w:rsidRPr="00A04969">
        <w:rPr>
          <w:rFonts w:ascii="Times New Roman" w:hAnsi="Times New Roman" w:cs="Times New Roman"/>
          <w:sz w:val="20"/>
          <w:szCs w:val="20"/>
        </w:rPr>
        <w:t xml:space="preserve"> at 4.</w:t>
      </w:r>
      <w:proofErr w:type="gramEnd"/>
    </w:p>
  </w:footnote>
  <w:footnote w:id="221">
    <w:p w14:paraId="31800A74" w14:textId="1BF2D9C6"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r w:rsidRPr="00A04969">
        <w:rPr>
          <w:rFonts w:ascii="Times New Roman" w:hAnsi="Times New Roman" w:cs="Times New Roman"/>
          <w:color w:val="1A1A1A"/>
          <w:sz w:val="20"/>
          <w:szCs w:val="20"/>
        </w:rPr>
        <w:t xml:space="preserve">Akwé Kon: Voluntary Guidelines, </w:t>
      </w:r>
      <w:r w:rsidRPr="00A04969">
        <w:rPr>
          <w:rFonts w:ascii="Times New Roman" w:hAnsi="Times New Roman" w:cs="Times New Roman"/>
          <w:i/>
          <w:color w:val="1A1A1A"/>
          <w:sz w:val="20"/>
          <w:szCs w:val="20"/>
        </w:rPr>
        <w:t>supra</w:t>
      </w:r>
      <w:r w:rsidRPr="00A04969">
        <w:rPr>
          <w:rFonts w:ascii="Times New Roman" w:hAnsi="Times New Roman" w:cs="Times New Roman"/>
          <w:color w:val="1A1A1A"/>
          <w:sz w:val="20"/>
          <w:szCs w:val="20"/>
        </w:rPr>
        <w:t xml:space="preserve"> n. </w:t>
      </w:r>
      <w:r w:rsidRPr="00A04969">
        <w:rPr>
          <w:rFonts w:ascii="Times New Roman" w:hAnsi="Times New Roman" w:cs="Times New Roman"/>
          <w:color w:val="1A1A1A"/>
          <w:sz w:val="20"/>
          <w:szCs w:val="20"/>
        </w:rPr>
        <w:fldChar w:fldCharType="begin"/>
      </w:r>
      <w:r w:rsidRPr="00A04969">
        <w:rPr>
          <w:rFonts w:ascii="Times New Roman" w:hAnsi="Times New Roman" w:cs="Times New Roman"/>
          <w:color w:val="1A1A1A"/>
          <w:sz w:val="20"/>
          <w:szCs w:val="20"/>
        </w:rPr>
        <w:instrText xml:space="preserve"> NOTEREF _Ref333348796 \h </w:instrText>
      </w:r>
      <w:r w:rsidRPr="00A04969">
        <w:rPr>
          <w:rFonts w:ascii="Times New Roman" w:hAnsi="Times New Roman" w:cs="Times New Roman"/>
          <w:color w:val="1A1A1A"/>
          <w:sz w:val="20"/>
          <w:szCs w:val="20"/>
        </w:rPr>
      </w:r>
      <w:r w:rsidRPr="00A04969">
        <w:rPr>
          <w:rFonts w:ascii="Times New Roman" w:hAnsi="Times New Roman" w:cs="Times New Roman"/>
          <w:color w:val="1A1A1A"/>
          <w:sz w:val="20"/>
          <w:szCs w:val="20"/>
        </w:rPr>
        <w:fldChar w:fldCharType="separate"/>
      </w:r>
      <w:r>
        <w:rPr>
          <w:rFonts w:ascii="Times New Roman" w:hAnsi="Times New Roman" w:cs="Times New Roman"/>
          <w:color w:val="1A1A1A"/>
          <w:sz w:val="20"/>
          <w:szCs w:val="20"/>
        </w:rPr>
        <w:t>13</w:t>
      </w:r>
      <w:r w:rsidRPr="00A04969">
        <w:rPr>
          <w:rFonts w:ascii="Times New Roman" w:hAnsi="Times New Roman" w:cs="Times New Roman"/>
          <w:color w:val="1A1A1A"/>
          <w:sz w:val="20"/>
          <w:szCs w:val="20"/>
        </w:rPr>
        <w:fldChar w:fldCharType="end"/>
      </w:r>
      <w:r w:rsidRPr="00A04969">
        <w:rPr>
          <w:rFonts w:ascii="Times New Roman" w:hAnsi="Times New Roman" w:cs="Times New Roman"/>
          <w:i/>
          <w:sz w:val="20"/>
          <w:szCs w:val="20"/>
        </w:rPr>
        <w:t xml:space="preserve"> </w:t>
      </w:r>
      <w:r w:rsidRPr="00A04969">
        <w:rPr>
          <w:rFonts w:ascii="Times New Roman" w:hAnsi="Times New Roman" w:cs="Times New Roman"/>
          <w:color w:val="1A1A1A"/>
          <w:sz w:val="20"/>
          <w:szCs w:val="20"/>
        </w:rPr>
        <w:t>at 11, 25.</w:t>
      </w:r>
    </w:p>
  </w:footnote>
  <w:footnote w:id="222">
    <w:p w14:paraId="08DB70B9" w14:textId="44B04FB8"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proofErr w:type="gramStart"/>
      <w:r w:rsidRPr="00A04969">
        <w:rPr>
          <w:rFonts w:ascii="Times New Roman" w:hAnsi="Times New Roman" w:cs="Times New Roman"/>
          <w:sz w:val="20"/>
          <w:szCs w:val="20"/>
        </w:rPr>
        <w:t>See, e.g., Alderville First Nation Consultation Protocol, Appendix B, Working Budget (April 2015).</w:t>
      </w:r>
      <w:proofErr w:type="gramEnd"/>
    </w:p>
  </w:footnote>
  <w:footnote w:id="223">
    <w:p w14:paraId="181DDBF6" w14:textId="6087C9C3"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See, e.g., Policy for Consultation on Referrals of Resource Development Activities within the Traditional Lands of the Frog Lake First Nation, Schedule of Capacity Contributions (2007).</w:t>
      </w:r>
    </w:p>
  </w:footnote>
  <w:footnote w:id="224">
    <w:p w14:paraId="11F6B8F6" w14:textId="085F1324"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proofErr w:type="gramStart"/>
      <w:r w:rsidRPr="00A04969">
        <w:rPr>
          <w:rFonts w:ascii="Times New Roman" w:hAnsi="Times New Roman" w:cs="Times New Roman"/>
          <w:sz w:val="20"/>
          <w:szCs w:val="20"/>
        </w:rPr>
        <w:t xml:space="preserve">Ginoogaming Consultation Protocol, </w:t>
      </w:r>
      <w:r w:rsidRPr="00A04969">
        <w:rPr>
          <w:rFonts w:ascii="Times New Roman" w:hAnsi="Times New Roman" w:cs="Times New Roman"/>
          <w:i/>
          <w:sz w:val="20"/>
          <w:szCs w:val="20"/>
        </w:rPr>
        <w:t xml:space="preserve">supra </w:t>
      </w:r>
      <w:r w:rsidRPr="00A04969">
        <w:rPr>
          <w:rFonts w:ascii="Times New Roman" w:hAnsi="Times New Roman" w:cs="Times New Roman"/>
          <w:sz w:val="20"/>
          <w:szCs w:val="20"/>
        </w:rPr>
        <w:t xml:space="preserve">n. </w:t>
      </w:r>
      <w:r w:rsidRPr="00A04969">
        <w:rPr>
          <w:rFonts w:ascii="Times New Roman" w:hAnsi="Times New Roman" w:cs="Times New Roman"/>
          <w:sz w:val="20"/>
          <w:szCs w:val="20"/>
          <w:highlight w:val="cyan"/>
        </w:rPr>
        <w:fldChar w:fldCharType="begin"/>
      </w:r>
      <w:r w:rsidRPr="00A04969">
        <w:rPr>
          <w:rFonts w:ascii="Times New Roman" w:hAnsi="Times New Roman" w:cs="Times New Roman"/>
          <w:sz w:val="20"/>
          <w:szCs w:val="20"/>
        </w:rPr>
        <w:instrText xml:space="preserve"> NOTEREF _Ref333999948 \h </w:instrText>
      </w:r>
      <w:r w:rsidRPr="00A04969">
        <w:rPr>
          <w:rFonts w:ascii="Times New Roman" w:hAnsi="Times New Roman" w:cs="Times New Roman"/>
          <w:sz w:val="20"/>
          <w:szCs w:val="20"/>
          <w:highlight w:val="cyan"/>
        </w:rPr>
      </w:r>
      <w:r w:rsidRPr="00A04969">
        <w:rPr>
          <w:rFonts w:ascii="Times New Roman" w:hAnsi="Times New Roman" w:cs="Times New Roman"/>
          <w:sz w:val="20"/>
          <w:szCs w:val="20"/>
          <w:highlight w:val="cyan"/>
        </w:rPr>
        <w:fldChar w:fldCharType="separate"/>
      </w:r>
      <w:r>
        <w:rPr>
          <w:rFonts w:ascii="Times New Roman" w:hAnsi="Times New Roman" w:cs="Times New Roman"/>
          <w:sz w:val="20"/>
          <w:szCs w:val="20"/>
        </w:rPr>
        <w:t>46</w:t>
      </w:r>
      <w:r w:rsidRPr="00A04969">
        <w:rPr>
          <w:rFonts w:ascii="Times New Roman" w:hAnsi="Times New Roman" w:cs="Times New Roman"/>
          <w:sz w:val="20"/>
          <w:szCs w:val="20"/>
          <w:highlight w:val="cyan"/>
        </w:rPr>
        <w:fldChar w:fldCharType="end"/>
      </w:r>
      <w:r w:rsidRPr="00A04969">
        <w:rPr>
          <w:rFonts w:ascii="Times New Roman" w:hAnsi="Times New Roman" w:cs="Times New Roman"/>
          <w:sz w:val="20"/>
          <w:szCs w:val="20"/>
        </w:rPr>
        <w:t xml:space="preserve"> at 8.</w:t>
      </w:r>
      <w:proofErr w:type="gramEnd"/>
    </w:p>
  </w:footnote>
  <w:footnote w:id="225">
    <w:p w14:paraId="5FDD3852" w14:textId="3DC649EB"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proofErr w:type="gramStart"/>
      <w:r w:rsidRPr="00A04969">
        <w:rPr>
          <w:rFonts w:ascii="Times New Roman" w:hAnsi="Times New Roman" w:cs="Times New Roman"/>
          <w:sz w:val="20"/>
          <w:szCs w:val="20"/>
        </w:rPr>
        <w:t xml:space="preserve">Hul’qumi’num Consultation Policy, </w:t>
      </w:r>
      <w:r w:rsidRPr="00A04969">
        <w:rPr>
          <w:rFonts w:ascii="Times New Roman" w:hAnsi="Times New Roman" w:cs="Times New Roman"/>
          <w:i/>
          <w:sz w:val="20"/>
          <w:szCs w:val="20"/>
        </w:rPr>
        <w:t>supra</w:t>
      </w:r>
      <w:r w:rsidRPr="00A04969">
        <w:rPr>
          <w:rFonts w:ascii="Times New Roman" w:hAnsi="Times New Roman" w:cs="Times New Roman"/>
          <w:sz w:val="20"/>
          <w:szCs w:val="20"/>
        </w:rPr>
        <w:t xml:space="preserve"> n. </w:t>
      </w:r>
      <w:r w:rsidRPr="00A04969">
        <w:rPr>
          <w:rFonts w:ascii="Times New Roman" w:hAnsi="Times New Roman" w:cs="Times New Roman"/>
          <w:sz w:val="20"/>
          <w:szCs w:val="20"/>
        </w:rPr>
        <w:fldChar w:fldCharType="begin"/>
      </w:r>
      <w:r w:rsidRPr="00A04969">
        <w:rPr>
          <w:rFonts w:ascii="Times New Roman" w:hAnsi="Times New Roman" w:cs="Times New Roman"/>
          <w:sz w:val="20"/>
          <w:szCs w:val="20"/>
        </w:rPr>
        <w:instrText xml:space="preserve"> NOTEREF _Ref334005729 \h </w:instrText>
      </w:r>
      <w:r w:rsidRPr="00A04969">
        <w:rPr>
          <w:rFonts w:ascii="Times New Roman" w:hAnsi="Times New Roman" w:cs="Times New Roman"/>
          <w:sz w:val="20"/>
          <w:szCs w:val="20"/>
        </w:rPr>
      </w:r>
      <w:r w:rsidRPr="00A04969">
        <w:rPr>
          <w:rFonts w:ascii="Times New Roman" w:hAnsi="Times New Roman" w:cs="Times New Roman"/>
          <w:sz w:val="20"/>
          <w:szCs w:val="20"/>
        </w:rPr>
        <w:fldChar w:fldCharType="separate"/>
      </w:r>
      <w:r>
        <w:rPr>
          <w:rFonts w:ascii="Times New Roman" w:hAnsi="Times New Roman" w:cs="Times New Roman"/>
          <w:sz w:val="20"/>
          <w:szCs w:val="20"/>
        </w:rPr>
        <w:t>67</w:t>
      </w:r>
      <w:r w:rsidRPr="00A04969">
        <w:rPr>
          <w:rFonts w:ascii="Times New Roman" w:hAnsi="Times New Roman" w:cs="Times New Roman"/>
          <w:sz w:val="20"/>
          <w:szCs w:val="20"/>
        </w:rPr>
        <w:fldChar w:fldCharType="end"/>
      </w:r>
      <w:r w:rsidRPr="00A04969">
        <w:rPr>
          <w:rFonts w:ascii="Times New Roman" w:hAnsi="Times New Roman" w:cs="Times New Roman"/>
          <w:sz w:val="20"/>
          <w:szCs w:val="20"/>
        </w:rPr>
        <w:t xml:space="preserve"> at 25.</w:t>
      </w:r>
      <w:proofErr w:type="gramEnd"/>
    </w:p>
  </w:footnote>
  <w:footnote w:id="226">
    <w:p w14:paraId="034E6AB5" w14:textId="37F54AB9"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r w:rsidRPr="00A04969">
        <w:rPr>
          <w:rFonts w:ascii="Times New Roman" w:hAnsi="Times New Roman" w:cs="Times New Roman"/>
          <w:i/>
          <w:sz w:val="20"/>
          <w:szCs w:val="20"/>
        </w:rPr>
        <w:t>See, e.g</w:t>
      </w:r>
      <w:r w:rsidRPr="00A04969">
        <w:rPr>
          <w:rFonts w:ascii="Times New Roman" w:hAnsi="Times New Roman" w:cs="Times New Roman"/>
          <w:sz w:val="20"/>
          <w:szCs w:val="20"/>
        </w:rPr>
        <w:t>., Arctic Council, AMAP, Taking Stock of Adaptation Programs in the Arctic at 5 (2013) [hereinafter Taking Stock of Adaptation].</w:t>
      </w:r>
    </w:p>
  </w:footnote>
  <w:footnote w:id="227">
    <w:p w14:paraId="4C8C1B59" w14:textId="5DE403DF"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proofErr w:type="gramStart"/>
      <w:r w:rsidRPr="00A04969">
        <w:rPr>
          <w:rFonts w:ascii="Times New Roman" w:hAnsi="Times New Roman" w:cs="Times New Roman"/>
          <w:sz w:val="20"/>
          <w:szCs w:val="20"/>
        </w:rPr>
        <w:t xml:space="preserve">MMC Report, </w:t>
      </w:r>
      <w:r w:rsidRPr="00A04969">
        <w:rPr>
          <w:rFonts w:ascii="Times New Roman" w:hAnsi="Times New Roman" w:cs="Times New Roman"/>
          <w:i/>
          <w:sz w:val="20"/>
          <w:szCs w:val="20"/>
        </w:rPr>
        <w:t>supra</w:t>
      </w:r>
      <w:r w:rsidRPr="00A04969">
        <w:rPr>
          <w:rFonts w:ascii="Times New Roman" w:hAnsi="Times New Roman" w:cs="Times New Roman"/>
          <w:sz w:val="20"/>
          <w:szCs w:val="20"/>
        </w:rPr>
        <w:t xml:space="preserve"> n. </w:t>
      </w:r>
      <w:r w:rsidRPr="00A04969">
        <w:rPr>
          <w:rFonts w:ascii="Times New Roman" w:hAnsi="Times New Roman" w:cs="Times New Roman"/>
          <w:sz w:val="20"/>
          <w:szCs w:val="20"/>
        </w:rPr>
        <w:fldChar w:fldCharType="begin"/>
      </w:r>
      <w:r w:rsidRPr="00A04969">
        <w:rPr>
          <w:rFonts w:ascii="Times New Roman" w:hAnsi="Times New Roman" w:cs="Times New Roman"/>
          <w:sz w:val="20"/>
          <w:szCs w:val="20"/>
        </w:rPr>
        <w:instrText xml:space="preserve"> NOTEREF _Ref334005938 \h </w:instrText>
      </w:r>
      <w:r w:rsidRPr="00A04969">
        <w:rPr>
          <w:rFonts w:ascii="Times New Roman" w:hAnsi="Times New Roman" w:cs="Times New Roman"/>
          <w:sz w:val="20"/>
          <w:szCs w:val="20"/>
        </w:rPr>
      </w:r>
      <w:r w:rsidRPr="00A04969">
        <w:rPr>
          <w:rFonts w:ascii="Times New Roman" w:hAnsi="Times New Roman" w:cs="Times New Roman"/>
          <w:sz w:val="20"/>
          <w:szCs w:val="20"/>
        </w:rPr>
        <w:fldChar w:fldCharType="separate"/>
      </w:r>
      <w:r>
        <w:rPr>
          <w:rFonts w:ascii="Times New Roman" w:hAnsi="Times New Roman" w:cs="Times New Roman"/>
          <w:sz w:val="20"/>
          <w:szCs w:val="20"/>
        </w:rPr>
        <w:t>130</w:t>
      </w:r>
      <w:r w:rsidRPr="00A04969">
        <w:rPr>
          <w:rFonts w:ascii="Times New Roman" w:hAnsi="Times New Roman" w:cs="Times New Roman"/>
          <w:sz w:val="20"/>
          <w:szCs w:val="20"/>
        </w:rPr>
        <w:fldChar w:fldCharType="end"/>
      </w:r>
      <w:r w:rsidRPr="00A04969">
        <w:rPr>
          <w:rFonts w:ascii="Times New Roman" w:hAnsi="Times New Roman" w:cs="Times New Roman"/>
          <w:sz w:val="20"/>
          <w:szCs w:val="20"/>
        </w:rPr>
        <w:t xml:space="preserve"> at 15.</w:t>
      </w:r>
      <w:proofErr w:type="gramEnd"/>
    </w:p>
  </w:footnote>
  <w:footnote w:id="228">
    <w:p w14:paraId="3601FAE7" w14:textId="6FD1B6E5"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proofErr w:type="gramStart"/>
      <w:r w:rsidRPr="00A04969">
        <w:rPr>
          <w:rFonts w:ascii="Times New Roman" w:hAnsi="Times New Roman" w:cs="Times New Roman"/>
          <w:sz w:val="20"/>
          <w:szCs w:val="20"/>
        </w:rPr>
        <w:t xml:space="preserve">Global Compact Good Practice, </w:t>
      </w:r>
      <w:r w:rsidRPr="00A04969">
        <w:rPr>
          <w:rFonts w:ascii="Times New Roman" w:hAnsi="Times New Roman" w:cs="Times New Roman"/>
          <w:i/>
          <w:sz w:val="20"/>
          <w:szCs w:val="20"/>
        </w:rPr>
        <w:t>supra</w:t>
      </w:r>
      <w:r w:rsidRPr="00A04969">
        <w:rPr>
          <w:rFonts w:ascii="Times New Roman" w:hAnsi="Times New Roman" w:cs="Times New Roman"/>
          <w:sz w:val="20"/>
          <w:szCs w:val="20"/>
        </w:rPr>
        <w:t xml:space="preserve"> n. </w:t>
      </w:r>
      <w:r w:rsidRPr="00A04969">
        <w:rPr>
          <w:rFonts w:ascii="Times New Roman" w:hAnsi="Times New Roman" w:cs="Times New Roman"/>
          <w:sz w:val="20"/>
          <w:szCs w:val="20"/>
        </w:rPr>
        <w:fldChar w:fldCharType="begin"/>
      </w:r>
      <w:r w:rsidRPr="00A04969">
        <w:rPr>
          <w:rFonts w:ascii="Times New Roman" w:hAnsi="Times New Roman" w:cs="Times New Roman"/>
          <w:sz w:val="20"/>
          <w:szCs w:val="20"/>
        </w:rPr>
        <w:instrText xml:space="preserve"> NOTEREF _Ref334080159 \h </w:instrText>
      </w:r>
      <w:r w:rsidRPr="00A04969">
        <w:rPr>
          <w:rFonts w:ascii="Times New Roman" w:hAnsi="Times New Roman" w:cs="Times New Roman"/>
          <w:sz w:val="20"/>
          <w:szCs w:val="20"/>
        </w:rPr>
      </w:r>
      <w:r w:rsidRPr="00A04969">
        <w:rPr>
          <w:rFonts w:ascii="Times New Roman" w:hAnsi="Times New Roman" w:cs="Times New Roman"/>
          <w:sz w:val="20"/>
          <w:szCs w:val="20"/>
        </w:rPr>
        <w:fldChar w:fldCharType="separate"/>
      </w:r>
      <w:r>
        <w:rPr>
          <w:rFonts w:ascii="Times New Roman" w:hAnsi="Times New Roman" w:cs="Times New Roman"/>
          <w:sz w:val="20"/>
          <w:szCs w:val="20"/>
        </w:rPr>
        <w:t>40</w:t>
      </w:r>
      <w:r w:rsidRPr="00A04969">
        <w:rPr>
          <w:rFonts w:ascii="Times New Roman" w:hAnsi="Times New Roman" w:cs="Times New Roman"/>
          <w:sz w:val="20"/>
          <w:szCs w:val="20"/>
        </w:rPr>
        <w:fldChar w:fldCharType="end"/>
      </w:r>
      <w:r w:rsidRPr="00A04969">
        <w:rPr>
          <w:rFonts w:ascii="Times New Roman" w:hAnsi="Times New Roman" w:cs="Times New Roman"/>
          <w:sz w:val="20"/>
          <w:szCs w:val="20"/>
        </w:rPr>
        <w:t xml:space="preserve"> at 16.</w:t>
      </w:r>
      <w:proofErr w:type="gramEnd"/>
    </w:p>
  </w:footnote>
  <w:footnote w:id="229">
    <w:p w14:paraId="05033408" w14:textId="32323913" w:rsidR="00D43BBB" w:rsidRPr="00A04969" w:rsidRDefault="00D43BBB" w:rsidP="002420B7">
      <w:pPr>
        <w:widowControl w:val="0"/>
        <w:autoSpaceDE w:val="0"/>
        <w:autoSpaceDN w:val="0"/>
        <w:adjustRightInd w:val="0"/>
        <w:rPr>
          <w:sz w:val="20"/>
          <w:szCs w:val="20"/>
        </w:rPr>
      </w:pPr>
      <w:r w:rsidRPr="00A04969">
        <w:rPr>
          <w:rStyle w:val="FootnoteReference"/>
          <w:sz w:val="20"/>
          <w:szCs w:val="20"/>
        </w:rPr>
        <w:footnoteRef/>
      </w:r>
      <w:r w:rsidRPr="00A04969">
        <w:rPr>
          <w:sz w:val="20"/>
          <w:szCs w:val="20"/>
        </w:rPr>
        <w:t xml:space="preserve"> </w:t>
      </w:r>
      <w:r w:rsidRPr="00A04969">
        <w:rPr>
          <w:i/>
          <w:sz w:val="20"/>
          <w:szCs w:val="20"/>
        </w:rPr>
        <w:t>See, e.g.,</w:t>
      </w:r>
      <w:r w:rsidRPr="00A04969">
        <w:rPr>
          <w:sz w:val="20"/>
          <w:szCs w:val="20"/>
        </w:rPr>
        <w:t xml:space="preserve"> INAC Guidelines, </w:t>
      </w:r>
      <w:r w:rsidRPr="00A04969">
        <w:rPr>
          <w:i/>
          <w:sz w:val="20"/>
          <w:szCs w:val="20"/>
        </w:rPr>
        <w:t>supra</w:t>
      </w:r>
      <w:r w:rsidRPr="00A04969">
        <w:rPr>
          <w:sz w:val="20"/>
          <w:szCs w:val="20"/>
        </w:rPr>
        <w:t xml:space="preserve"> n. </w:t>
      </w:r>
      <w:r w:rsidRPr="00A04969">
        <w:rPr>
          <w:sz w:val="20"/>
          <w:szCs w:val="20"/>
        </w:rPr>
        <w:fldChar w:fldCharType="begin"/>
      </w:r>
      <w:r w:rsidRPr="00A04969">
        <w:rPr>
          <w:sz w:val="20"/>
          <w:szCs w:val="20"/>
        </w:rPr>
        <w:instrText xml:space="preserve"> NOTEREF _Ref334080771 \h </w:instrText>
      </w:r>
      <w:r w:rsidRPr="00A04969">
        <w:rPr>
          <w:sz w:val="20"/>
          <w:szCs w:val="20"/>
        </w:rPr>
      </w:r>
      <w:r w:rsidRPr="00A04969">
        <w:rPr>
          <w:sz w:val="20"/>
          <w:szCs w:val="20"/>
        </w:rPr>
        <w:fldChar w:fldCharType="separate"/>
      </w:r>
      <w:r>
        <w:rPr>
          <w:sz w:val="20"/>
          <w:szCs w:val="20"/>
        </w:rPr>
        <w:t>26</w:t>
      </w:r>
      <w:r w:rsidRPr="00A04969">
        <w:rPr>
          <w:sz w:val="20"/>
          <w:szCs w:val="20"/>
        </w:rPr>
        <w:fldChar w:fldCharType="end"/>
      </w:r>
      <w:r w:rsidRPr="00A04969">
        <w:rPr>
          <w:sz w:val="20"/>
          <w:szCs w:val="20"/>
        </w:rPr>
        <w:t xml:space="preserve"> at 18 (noting “The Crown may reasonably expect Aboriginal groups to: make their concerns known to the Crown and share any other relevant information that can assist in assessing the strength of their claim or the seriousness of any impacts on their potential or established Aboriginal or Treaty rights and related interests”); </w:t>
      </w:r>
      <w:r w:rsidRPr="00A04969">
        <w:rPr>
          <w:i/>
          <w:iCs/>
          <w:sz w:val="20"/>
          <w:szCs w:val="20"/>
        </w:rPr>
        <w:t xml:space="preserve">Mikisew, </w:t>
      </w:r>
      <w:r w:rsidRPr="00A04969">
        <w:rPr>
          <w:sz w:val="20"/>
          <w:szCs w:val="20"/>
        </w:rPr>
        <w:t>¶¶ 9, 13, 65.</w:t>
      </w:r>
    </w:p>
  </w:footnote>
  <w:footnote w:id="230">
    <w:p w14:paraId="66EFCEA7" w14:textId="079758FE" w:rsidR="00D43BBB" w:rsidRPr="00A04969" w:rsidRDefault="00D43BBB" w:rsidP="006E3895">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Companies have an obligation to ensure that engagement is informed, through a process of “due diligence.” This process entails “assessing the human rights context prior to a proposed business activity, where possible; identifying who may be affected; cataloguing the relevant human rights standards and issues; and projecting how the proposed activity and associated business relationships could have adverse human rights impacts on those identified.” </w:t>
      </w:r>
      <w:proofErr w:type="gramStart"/>
      <w:r w:rsidRPr="00A04969">
        <w:rPr>
          <w:rFonts w:ascii="Times New Roman" w:hAnsi="Times New Roman" w:cs="Times New Roman"/>
          <w:sz w:val="20"/>
          <w:szCs w:val="20"/>
        </w:rPr>
        <w:t xml:space="preserve">The Corporate Responsibility to Respect Human Rights, </w:t>
      </w:r>
      <w:r w:rsidRPr="00A04969">
        <w:rPr>
          <w:rFonts w:ascii="Times New Roman" w:hAnsi="Times New Roman" w:cs="Times New Roman"/>
          <w:i/>
          <w:sz w:val="20"/>
          <w:szCs w:val="20"/>
        </w:rPr>
        <w:t>supra</w:t>
      </w:r>
      <w:r w:rsidRPr="00A04969">
        <w:rPr>
          <w:rFonts w:ascii="Times New Roman" w:hAnsi="Times New Roman" w:cs="Times New Roman"/>
          <w:sz w:val="20"/>
          <w:szCs w:val="20"/>
        </w:rPr>
        <w:t xml:space="preserve"> n. </w:t>
      </w:r>
      <w:r w:rsidRPr="00A04969">
        <w:rPr>
          <w:rFonts w:ascii="Times New Roman" w:hAnsi="Times New Roman" w:cs="Times New Roman"/>
          <w:sz w:val="20"/>
          <w:szCs w:val="20"/>
        </w:rPr>
        <w:fldChar w:fldCharType="begin"/>
      </w:r>
      <w:r w:rsidRPr="00A04969">
        <w:rPr>
          <w:rFonts w:ascii="Times New Roman" w:hAnsi="Times New Roman" w:cs="Times New Roman"/>
          <w:sz w:val="20"/>
          <w:szCs w:val="20"/>
        </w:rPr>
        <w:instrText xml:space="preserve"> NOTEREF _Ref334083691 \h </w:instrText>
      </w:r>
      <w:r w:rsidRPr="00A04969">
        <w:rPr>
          <w:rFonts w:ascii="Times New Roman" w:hAnsi="Times New Roman" w:cs="Times New Roman"/>
          <w:sz w:val="20"/>
          <w:szCs w:val="20"/>
        </w:rPr>
      </w:r>
      <w:r w:rsidRPr="00A04969">
        <w:rPr>
          <w:rFonts w:ascii="Times New Roman" w:hAnsi="Times New Roman" w:cs="Times New Roman"/>
          <w:sz w:val="20"/>
          <w:szCs w:val="20"/>
        </w:rPr>
        <w:fldChar w:fldCharType="separate"/>
      </w:r>
      <w:r>
        <w:rPr>
          <w:rFonts w:ascii="Times New Roman" w:hAnsi="Times New Roman" w:cs="Times New Roman"/>
          <w:sz w:val="20"/>
          <w:szCs w:val="20"/>
        </w:rPr>
        <w:t>8</w:t>
      </w:r>
      <w:r w:rsidRPr="00A04969">
        <w:rPr>
          <w:rFonts w:ascii="Times New Roman" w:hAnsi="Times New Roman" w:cs="Times New Roman"/>
          <w:sz w:val="20"/>
          <w:szCs w:val="20"/>
        </w:rPr>
        <w:fldChar w:fldCharType="end"/>
      </w:r>
      <w:r w:rsidRPr="00A04969">
        <w:rPr>
          <w:rFonts w:ascii="Times New Roman" w:hAnsi="Times New Roman" w:cs="Times New Roman"/>
          <w:sz w:val="20"/>
          <w:szCs w:val="20"/>
        </w:rPr>
        <w:t xml:space="preserve"> at 40.</w:t>
      </w:r>
      <w:proofErr w:type="gramEnd"/>
    </w:p>
  </w:footnote>
  <w:footnote w:id="231">
    <w:p w14:paraId="2905EB86" w14:textId="5DD1379A" w:rsidR="00D43BBB" w:rsidRPr="00A04969" w:rsidRDefault="00D43BBB" w:rsidP="006E3895">
      <w:pPr>
        <w:widowControl w:val="0"/>
        <w:autoSpaceDE w:val="0"/>
        <w:autoSpaceDN w:val="0"/>
        <w:adjustRightInd w:val="0"/>
        <w:rPr>
          <w:sz w:val="20"/>
          <w:szCs w:val="20"/>
        </w:rPr>
      </w:pPr>
      <w:r w:rsidRPr="00A04969">
        <w:rPr>
          <w:rStyle w:val="FootnoteReference"/>
          <w:sz w:val="20"/>
          <w:szCs w:val="20"/>
        </w:rPr>
        <w:footnoteRef/>
      </w:r>
      <w:r w:rsidRPr="00A04969">
        <w:rPr>
          <w:sz w:val="20"/>
          <w:szCs w:val="20"/>
        </w:rPr>
        <w:t xml:space="preserve"> </w:t>
      </w:r>
      <w:proofErr w:type="gramStart"/>
      <w:r w:rsidRPr="00A04969">
        <w:rPr>
          <w:sz w:val="20"/>
          <w:szCs w:val="20"/>
        </w:rPr>
        <w:t xml:space="preserve">Poelzer 2015, </w:t>
      </w:r>
      <w:r w:rsidRPr="00A04969">
        <w:rPr>
          <w:i/>
          <w:sz w:val="20"/>
          <w:szCs w:val="20"/>
        </w:rPr>
        <w:t>supra</w:t>
      </w:r>
      <w:r w:rsidRPr="00A04969">
        <w:rPr>
          <w:sz w:val="20"/>
          <w:szCs w:val="20"/>
        </w:rPr>
        <w:t xml:space="preserve"> n. </w:t>
      </w:r>
      <w:r w:rsidRPr="00A04969">
        <w:rPr>
          <w:sz w:val="20"/>
          <w:szCs w:val="20"/>
        </w:rPr>
        <w:fldChar w:fldCharType="begin"/>
      </w:r>
      <w:r w:rsidRPr="00A04969">
        <w:rPr>
          <w:sz w:val="20"/>
          <w:szCs w:val="20"/>
        </w:rPr>
        <w:instrText xml:space="preserve"> NOTEREF _Ref334083020 \h </w:instrText>
      </w:r>
      <w:r w:rsidRPr="00A04969">
        <w:rPr>
          <w:sz w:val="20"/>
          <w:szCs w:val="20"/>
        </w:rPr>
      </w:r>
      <w:r w:rsidRPr="00A04969">
        <w:rPr>
          <w:sz w:val="20"/>
          <w:szCs w:val="20"/>
        </w:rPr>
        <w:fldChar w:fldCharType="separate"/>
      </w:r>
      <w:r>
        <w:rPr>
          <w:sz w:val="20"/>
          <w:szCs w:val="20"/>
        </w:rPr>
        <w:t>44</w:t>
      </w:r>
      <w:r w:rsidRPr="00A04969">
        <w:rPr>
          <w:sz w:val="20"/>
          <w:szCs w:val="20"/>
        </w:rPr>
        <w:fldChar w:fldCharType="end"/>
      </w:r>
      <w:r w:rsidRPr="00A04969">
        <w:rPr>
          <w:sz w:val="20"/>
          <w:szCs w:val="20"/>
        </w:rPr>
        <w:t xml:space="preserve"> at 46.</w:t>
      </w:r>
      <w:proofErr w:type="gramEnd"/>
    </w:p>
  </w:footnote>
  <w:footnote w:id="232">
    <w:p w14:paraId="632930D2" w14:textId="2FBE69CD" w:rsidR="00D43BBB" w:rsidRPr="00A04969" w:rsidRDefault="00D43BBB" w:rsidP="006E3895">
      <w:pPr>
        <w:widowControl w:val="0"/>
        <w:autoSpaceDE w:val="0"/>
        <w:autoSpaceDN w:val="0"/>
        <w:adjustRightInd w:val="0"/>
        <w:rPr>
          <w:sz w:val="20"/>
          <w:szCs w:val="20"/>
          <w:lang w:val="en-US"/>
        </w:rPr>
      </w:pPr>
      <w:r w:rsidRPr="00A04969">
        <w:rPr>
          <w:rStyle w:val="FootnoteReference"/>
          <w:sz w:val="20"/>
          <w:szCs w:val="20"/>
        </w:rPr>
        <w:footnoteRef/>
      </w:r>
      <w:r w:rsidRPr="00A04969">
        <w:rPr>
          <w:sz w:val="20"/>
          <w:szCs w:val="20"/>
        </w:rPr>
        <w:t xml:space="preserve"> </w:t>
      </w:r>
      <w:r w:rsidRPr="00A04969">
        <w:rPr>
          <w:bCs/>
          <w:iCs/>
          <w:sz w:val="20"/>
          <w:szCs w:val="20"/>
          <w:lang w:val="en-US"/>
        </w:rPr>
        <w:t>Bureau of Minerals and Petroleum, Greenland</w:t>
      </w:r>
      <w:r w:rsidRPr="00A04969">
        <w:rPr>
          <w:sz w:val="20"/>
          <w:szCs w:val="20"/>
          <w:lang w:val="en-US"/>
        </w:rPr>
        <w:t xml:space="preserve">, </w:t>
      </w:r>
      <w:r w:rsidRPr="00A04969">
        <w:rPr>
          <w:bCs/>
          <w:sz w:val="20"/>
          <w:szCs w:val="20"/>
          <w:lang w:val="en-US"/>
        </w:rPr>
        <w:t>Guidelines for Social Impact Assessments</w:t>
      </w:r>
      <w:r w:rsidRPr="00A04969">
        <w:rPr>
          <w:sz w:val="20"/>
          <w:szCs w:val="20"/>
          <w:lang w:val="en-US"/>
        </w:rPr>
        <w:t xml:space="preserve"> for Mining Projects in Greenland (Nov. 2009).</w:t>
      </w:r>
    </w:p>
  </w:footnote>
  <w:footnote w:id="233">
    <w:p w14:paraId="25825420" w14:textId="178D4605" w:rsidR="00D43BBB" w:rsidRPr="00A04969" w:rsidRDefault="00D43BBB" w:rsidP="006E3895">
      <w:pPr>
        <w:widowControl w:val="0"/>
        <w:autoSpaceDE w:val="0"/>
        <w:autoSpaceDN w:val="0"/>
        <w:adjustRightInd w:val="0"/>
        <w:rPr>
          <w:sz w:val="20"/>
          <w:szCs w:val="20"/>
          <w:lang w:val="en-US"/>
        </w:rPr>
      </w:pPr>
      <w:r w:rsidRPr="00A04969">
        <w:rPr>
          <w:rStyle w:val="FootnoteReference"/>
          <w:sz w:val="20"/>
          <w:szCs w:val="20"/>
        </w:rPr>
        <w:footnoteRef/>
      </w:r>
      <w:r w:rsidRPr="00A04969">
        <w:rPr>
          <w:sz w:val="20"/>
          <w:szCs w:val="20"/>
        </w:rPr>
        <w:t xml:space="preserve"> </w:t>
      </w:r>
      <w:proofErr w:type="gramStart"/>
      <w:r w:rsidRPr="00A04969">
        <w:rPr>
          <w:iCs/>
          <w:sz w:val="20"/>
          <w:szCs w:val="20"/>
          <w:lang w:val="en-US"/>
        </w:rPr>
        <w:t>Socio-Economic Assessment of Proposed Beaufort Sea MPA – Final Report (Fisheries and Oceans, Canada, 2003).</w:t>
      </w:r>
      <w:proofErr w:type="gramEnd"/>
    </w:p>
  </w:footnote>
  <w:footnote w:id="234">
    <w:p w14:paraId="2F9A9D1F" w14:textId="5B1A395A" w:rsidR="00D43BBB" w:rsidRPr="00A04969" w:rsidRDefault="00D43BBB" w:rsidP="006E3895">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Emery, A., Guidelines for Environmental Assessment with Indigenous Peoples, Centre for Traditional Knowledge (1997).</w:t>
      </w:r>
    </w:p>
  </w:footnote>
  <w:footnote w:id="235">
    <w:p w14:paraId="7DEA57C6" w14:textId="5E89D730" w:rsidR="00D43BBB" w:rsidRPr="00A04969" w:rsidRDefault="00D43BBB" w:rsidP="002420B7">
      <w:pPr>
        <w:rPr>
          <w:sz w:val="20"/>
          <w:szCs w:val="20"/>
        </w:rPr>
      </w:pPr>
      <w:r w:rsidRPr="00A04969">
        <w:rPr>
          <w:rStyle w:val="FootnoteReference"/>
          <w:sz w:val="20"/>
          <w:szCs w:val="20"/>
        </w:rPr>
        <w:footnoteRef/>
      </w:r>
      <w:r w:rsidRPr="00A04969">
        <w:rPr>
          <w:sz w:val="20"/>
          <w:szCs w:val="20"/>
        </w:rPr>
        <w:t xml:space="preserve"> </w:t>
      </w:r>
      <w:proofErr w:type="gramStart"/>
      <w:r w:rsidRPr="00A04969">
        <w:rPr>
          <w:sz w:val="20"/>
          <w:szCs w:val="20"/>
        </w:rPr>
        <w:t xml:space="preserve">Ottawa Principles, </w:t>
      </w:r>
      <w:r w:rsidRPr="00A04969">
        <w:rPr>
          <w:i/>
          <w:sz w:val="20"/>
          <w:szCs w:val="20"/>
        </w:rPr>
        <w:t>supra</w:t>
      </w:r>
      <w:r w:rsidRPr="00A04969">
        <w:rPr>
          <w:sz w:val="20"/>
          <w:szCs w:val="20"/>
        </w:rPr>
        <w:t xml:space="preserve"> n. </w:t>
      </w:r>
      <w:r w:rsidRPr="00A04969">
        <w:rPr>
          <w:sz w:val="20"/>
          <w:szCs w:val="20"/>
        </w:rPr>
        <w:fldChar w:fldCharType="begin"/>
      </w:r>
      <w:r w:rsidRPr="00A04969">
        <w:rPr>
          <w:sz w:val="20"/>
          <w:szCs w:val="20"/>
        </w:rPr>
        <w:instrText xml:space="preserve"> NOTEREF _Ref334001803 \h </w:instrText>
      </w:r>
      <w:r w:rsidRPr="00A04969">
        <w:rPr>
          <w:sz w:val="20"/>
          <w:szCs w:val="20"/>
        </w:rPr>
      </w:r>
      <w:r w:rsidRPr="00A04969">
        <w:rPr>
          <w:sz w:val="20"/>
          <w:szCs w:val="20"/>
        </w:rPr>
        <w:fldChar w:fldCharType="separate"/>
      </w:r>
      <w:r>
        <w:rPr>
          <w:sz w:val="20"/>
          <w:szCs w:val="20"/>
        </w:rPr>
        <w:t>144</w:t>
      </w:r>
      <w:r w:rsidRPr="00A04969">
        <w:rPr>
          <w:sz w:val="20"/>
          <w:szCs w:val="20"/>
        </w:rPr>
        <w:fldChar w:fldCharType="end"/>
      </w:r>
      <w:r w:rsidRPr="00A04969">
        <w:rPr>
          <w:sz w:val="20"/>
          <w:szCs w:val="20"/>
        </w:rPr>
        <w:t>.</w:t>
      </w:r>
      <w:proofErr w:type="gramEnd"/>
    </w:p>
  </w:footnote>
  <w:footnote w:id="236">
    <w:p w14:paraId="6AB403D0" w14:textId="4A3136AB" w:rsidR="00D43BBB" w:rsidRPr="00A04969" w:rsidRDefault="00D43BBB" w:rsidP="002420B7">
      <w:pPr>
        <w:rPr>
          <w:rFonts w:eastAsia="Times New Roman"/>
          <w:color w:val="000000"/>
          <w:sz w:val="20"/>
          <w:szCs w:val="20"/>
          <w:lang w:val="en-US"/>
        </w:rPr>
      </w:pPr>
      <w:r w:rsidRPr="00A04969">
        <w:rPr>
          <w:rStyle w:val="FootnoteReference"/>
          <w:sz w:val="20"/>
          <w:szCs w:val="20"/>
        </w:rPr>
        <w:footnoteRef/>
      </w:r>
      <w:r w:rsidRPr="00A04969">
        <w:rPr>
          <w:sz w:val="20"/>
          <w:szCs w:val="20"/>
        </w:rPr>
        <w:t xml:space="preserve"> Eythorsson, E. and Brattland, C. </w:t>
      </w:r>
      <w:r w:rsidRPr="00A04969">
        <w:rPr>
          <w:bCs/>
          <w:i/>
          <w:sz w:val="20"/>
          <w:szCs w:val="20"/>
          <w:lang w:val="en-US"/>
        </w:rPr>
        <w:t>New Challenges to Research on Local Ecological Knowledge: Cross-Disciplinarity and Partnership</w:t>
      </w:r>
      <w:r w:rsidRPr="00A04969">
        <w:rPr>
          <w:bCs/>
          <w:sz w:val="20"/>
          <w:szCs w:val="20"/>
          <w:lang w:val="en-US"/>
        </w:rPr>
        <w:t xml:space="preserve">, in </w:t>
      </w:r>
      <w:r w:rsidRPr="00A04969">
        <w:rPr>
          <w:sz w:val="20"/>
          <w:szCs w:val="20"/>
          <w:lang w:val="en-US"/>
        </w:rPr>
        <w:t>Fishing People of the North: Cultures, Economies, and Management Responding to Change 131 (</w:t>
      </w:r>
      <w:r w:rsidRPr="00A04969">
        <w:rPr>
          <w:bCs/>
          <w:sz w:val="20"/>
          <w:szCs w:val="20"/>
          <w:lang w:val="en-US"/>
        </w:rPr>
        <w:t>Carothers, C et al, eds</w:t>
      </w:r>
      <w:r w:rsidRPr="00A04969">
        <w:rPr>
          <w:sz w:val="20"/>
          <w:szCs w:val="20"/>
          <w:lang w:val="en-US"/>
        </w:rPr>
        <w:t xml:space="preserve">., 2012); </w:t>
      </w:r>
      <w:r w:rsidRPr="00A04969">
        <w:rPr>
          <w:i/>
          <w:sz w:val="20"/>
          <w:szCs w:val="20"/>
          <w:lang w:val="en-US"/>
        </w:rPr>
        <w:t>See also</w:t>
      </w:r>
      <w:r w:rsidRPr="00A04969">
        <w:rPr>
          <w:sz w:val="20"/>
          <w:szCs w:val="20"/>
          <w:lang w:val="en-US"/>
        </w:rPr>
        <w:t xml:space="preserve"> Kawerak, </w:t>
      </w:r>
      <w:r w:rsidRPr="00A04969">
        <w:rPr>
          <w:rFonts w:eastAsia="Times New Roman"/>
          <w:color w:val="000000"/>
          <w:sz w:val="20"/>
          <w:szCs w:val="20"/>
          <w:lang w:val="en-US"/>
        </w:rPr>
        <w:t>The World has Changed: Injalit Traditional Knowledge of Walrus in the Bering Strait</w:t>
      </w:r>
      <w:r w:rsidRPr="00A04969">
        <w:rPr>
          <w:sz w:val="20"/>
          <w:szCs w:val="20"/>
          <w:lang w:val="en-US"/>
        </w:rPr>
        <w:t xml:space="preserve"> at 47 (emphasizing the relevance of Indigenous Knowledge to management, policy, and science).</w:t>
      </w:r>
    </w:p>
  </w:footnote>
  <w:footnote w:id="237">
    <w:p w14:paraId="63FE9E35" w14:textId="778B1C54"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proofErr w:type="gramStart"/>
      <w:r w:rsidRPr="00A04969">
        <w:rPr>
          <w:rFonts w:ascii="Times New Roman" w:hAnsi="Times New Roman" w:cs="Times New Roman"/>
          <w:sz w:val="20"/>
          <w:szCs w:val="20"/>
        </w:rPr>
        <w:t>Edmonson, E.</w:t>
      </w:r>
      <w:proofErr w:type="gramEnd"/>
    </w:p>
  </w:footnote>
  <w:footnote w:id="238">
    <w:p w14:paraId="170322C6" w14:textId="23AA2855" w:rsidR="00D43BBB" w:rsidRPr="00A04969" w:rsidRDefault="00D43BBB" w:rsidP="002420B7">
      <w:pPr>
        <w:widowControl w:val="0"/>
        <w:autoSpaceDE w:val="0"/>
        <w:autoSpaceDN w:val="0"/>
        <w:adjustRightInd w:val="0"/>
        <w:rPr>
          <w:sz w:val="20"/>
          <w:szCs w:val="20"/>
          <w:lang w:val="en-US"/>
        </w:rPr>
      </w:pPr>
      <w:r w:rsidRPr="00A04969">
        <w:rPr>
          <w:rStyle w:val="FootnoteReference"/>
          <w:sz w:val="20"/>
          <w:szCs w:val="20"/>
        </w:rPr>
        <w:footnoteRef/>
      </w:r>
      <w:r w:rsidRPr="00A04969">
        <w:rPr>
          <w:sz w:val="20"/>
          <w:szCs w:val="20"/>
        </w:rPr>
        <w:t xml:space="preserve"> </w:t>
      </w:r>
      <w:proofErr w:type="spellStart"/>
      <w:proofErr w:type="gramStart"/>
      <w:r w:rsidRPr="00A04969">
        <w:rPr>
          <w:iCs/>
          <w:sz w:val="20"/>
          <w:szCs w:val="20"/>
          <w:lang w:val="en-US"/>
        </w:rPr>
        <w:t>Eythórsson</w:t>
      </w:r>
      <w:proofErr w:type="spellEnd"/>
      <w:r w:rsidRPr="00A04969">
        <w:rPr>
          <w:iCs/>
          <w:sz w:val="20"/>
          <w:szCs w:val="20"/>
          <w:lang w:val="en-US"/>
        </w:rPr>
        <w:t xml:space="preserve"> and </w:t>
      </w:r>
      <w:proofErr w:type="spellStart"/>
      <w:r w:rsidRPr="00A04969">
        <w:rPr>
          <w:iCs/>
          <w:sz w:val="20"/>
          <w:szCs w:val="20"/>
          <w:lang w:val="en-US"/>
        </w:rPr>
        <w:t>Brattland</w:t>
      </w:r>
      <w:proofErr w:type="spellEnd"/>
      <w:r w:rsidRPr="00A04969">
        <w:rPr>
          <w:i/>
          <w:iCs/>
          <w:sz w:val="20"/>
          <w:szCs w:val="20"/>
          <w:lang w:val="en-US"/>
        </w:rPr>
        <w:t xml:space="preserve">, supra </w:t>
      </w:r>
      <w:r w:rsidRPr="00A04969">
        <w:rPr>
          <w:iCs/>
          <w:sz w:val="20"/>
          <w:szCs w:val="20"/>
          <w:lang w:val="en-US"/>
        </w:rPr>
        <w:t xml:space="preserve">n. </w:t>
      </w:r>
      <w:r w:rsidRPr="00A04969">
        <w:rPr>
          <w:iCs/>
          <w:sz w:val="20"/>
          <w:szCs w:val="20"/>
          <w:lang w:val="en-US"/>
        </w:rPr>
        <w:fldChar w:fldCharType="begin"/>
      </w:r>
      <w:r w:rsidRPr="00A04969">
        <w:rPr>
          <w:iCs/>
          <w:sz w:val="20"/>
          <w:szCs w:val="20"/>
          <w:lang w:val="en-US"/>
        </w:rPr>
        <w:instrText xml:space="preserve"> NOTEREF _Ref333220277 </w:instrText>
      </w:r>
      <w:r w:rsidRPr="00A04969">
        <w:rPr>
          <w:sz w:val="20"/>
          <w:szCs w:val="20"/>
          <w:lang w:val="en-US"/>
        </w:rPr>
        <w:fldChar w:fldCharType="separate"/>
      </w:r>
      <w:r>
        <w:rPr>
          <w:iCs/>
          <w:sz w:val="20"/>
          <w:szCs w:val="20"/>
          <w:lang w:val="en-US"/>
        </w:rPr>
        <w:t>235</w:t>
      </w:r>
      <w:r w:rsidRPr="00A04969">
        <w:rPr>
          <w:iCs/>
          <w:sz w:val="20"/>
          <w:szCs w:val="20"/>
          <w:lang w:val="en-US"/>
        </w:rPr>
        <w:fldChar w:fldCharType="end"/>
      </w:r>
      <w:r w:rsidRPr="00A04969">
        <w:rPr>
          <w:i/>
          <w:sz w:val="20"/>
          <w:szCs w:val="20"/>
        </w:rPr>
        <w:t xml:space="preserve"> </w:t>
      </w:r>
      <w:r w:rsidRPr="00A04969">
        <w:rPr>
          <w:sz w:val="20"/>
          <w:szCs w:val="20"/>
        </w:rPr>
        <w:t>at 132.</w:t>
      </w:r>
      <w:proofErr w:type="gramEnd"/>
    </w:p>
  </w:footnote>
  <w:footnote w:id="239">
    <w:p w14:paraId="51EE2404" w14:textId="2DA6D04B" w:rsidR="00D43BBB" w:rsidRPr="00A04969" w:rsidRDefault="00D43BBB" w:rsidP="002420B7">
      <w:pPr>
        <w:widowControl w:val="0"/>
        <w:autoSpaceDE w:val="0"/>
        <w:autoSpaceDN w:val="0"/>
        <w:adjustRightInd w:val="0"/>
        <w:rPr>
          <w:sz w:val="20"/>
          <w:szCs w:val="20"/>
          <w:lang w:val="en-US"/>
        </w:rPr>
      </w:pPr>
      <w:r w:rsidRPr="00A04969">
        <w:rPr>
          <w:rStyle w:val="FootnoteReference"/>
          <w:sz w:val="20"/>
          <w:szCs w:val="20"/>
        </w:rPr>
        <w:footnoteRef/>
      </w:r>
      <w:r w:rsidRPr="00A04969">
        <w:rPr>
          <w:sz w:val="20"/>
          <w:szCs w:val="20"/>
        </w:rPr>
        <w:t xml:space="preserve"> </w:t>
      </w:r>
      <w:r w:rsidRPr="00A04969">
        <w:rPr>
          <w:bCs/>
          <w:sz w:val="20"/>
          <w:szCs w:val="20"/>
          <w:lang w:val="en-US"/>
        </w:rPr>
        <w:t xml:space="preserve">16 U.S.C. </w:t>
      </w:r>
      <w:r w:rsidRPr="00A04969">
        <w:rPr>
          <w:bCs/>
          <w:i/>
          <w:iCs/>
          <w:sz w:val="20"/>
          <w:szCs w:val="20"/>
          <w:lang w:val="en-US"/>
        </w:rPr>
        <w:t>§</w:t>
      </w:r>
      <w:r w:rsidRPr="00A04969">
        <w:rPr>
          <w:bCs/>
          <w:sz w:val="20"/>
          <w:szCs w:val="20"/>
          <w:lang w:val="en-US"/>
        </w:rPr>
        <w:t>1855(j</w:t>
      </w:r>
      <w:proofErr w:type="gramStart"/>
      <w:r w:rsidRPr="00A04969">
        <w:rPr>
          <w:bCs/>
          <w:sz w:val="20"/>
          <w:szCs w:val="20"/>
          <w:lang w:val="en-US"/>
        </w:rPr>
        <w:t>)(</w:t>
      </w:r>
      <w:proofErr w:type="gramEnd"/>
      <w:r w:rsidRPr="00A04969">
        <w:rPr>
          <w:bCs/>
          <w:sz w:val="20"/>
          <w:szCs w:val="20"/>
          <w:lang w:val="en-US"/>
        </w:rPr>
        <w:t>2)(E).</w:t>
      </w:r>
    </w:p>
  </w:footnote>
  <w:footnote w:id="240">
    <w:p w14:paraId="5368EF7F" w14:textId="7548E926"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proofErr w:type="gramStart"/>
      <w:r w:rsidRPr="00A04969">
        <w:rPr>
          <w:rFonts w:ascii="Times New Roman" w:hAnsi="Times New Roman" w:cs="Times New Roman"/>
          <w:sz w:val="20"/>
          <w:szCs w:val="20"/>
        </w:rPr>
        <w:t xml:space="preserve">NOAA 13175 Policy, </w:t>
      </w:r>
      <w:r w:rsidRPr="00A04969">
        <w:rPr>
          <w:rFonts w:ascii="Times New Roman" w:hAnsi="Times New Roman" w:cs="Times New Roman"/>
          <w:i/>
          <w:sz w:val="20"/>
          <w:szCs w:val="20"/>
        </w:rPr>
        <w:t>supra</w:t>
      </w:r>
      <w:r w:rsidRPr="00A04969">
        <w:rPr>
          <w:rFonts w:ascii="Times New Roman" w:hAnsi="Times New Roman" w:cs="Times New Roman"/>
          <w:sz w:val="20"/>
          <w:szCs w:val="20"/>
        </w:rPr>
        <w:t xml:space="preserve"> n. </w:t>
      </w:r>
      <w:r w:rsidRPr="00A04969">
        <w:rPr>
          <w:rFonts w:ascii="Times New Roman" w:hAnsi="Times New Roman" w:cs="Times New Roman"/>
          <w:sz w:val="20"/>
          <w:szCs w:val="20"/>
        </w:rPr>
        <w:fldChar w:fldCharType="begin"/>
      </w:r>
      <w:r w:rsidRPr="00A04969">
        <w:rPr>
          <w:rFonts w:ascii="Times New Roman" w:hAnsi="Times New Roman" w:cs="Times New Roman"/>
          <w:sz w:val="20"/>
          <w:szCs w:val="20"/>
        </w:rPr>
        <w:instrText xml:space="preserve"> NOTEREF _Ref334002328 \h </w:instrText>
      </w:r>
      <w:r w:rsidRPr="00A04969">
        <w:rPr>
          <w:rFonts w:ascii="Times New Roman" w:hAnsi="Times New Roman" w:cs="Times New Roman"/>
          <w:sz w:val="20"/>
          <w:szCs w:val="20"/>
        </w:rPr>
      </w:r>
      <w:r w:rsidRPr="00A04969">
        <w:rPr>
          <w:rFonts w:ascii="Times New Roman" w:hAnsi="Times New Roman" w:cs="Times New Roman"/>
          <w:sz w:val="20"/>
          <w:szCs w:val="20"/>
        </w:rPr>
        <w:fldChar w:fldCharType="separate"/>
      </w:r>
      <w:r>
        <w:rPr>
          <w:rFonts w:ascii="Times New Roman" w:hAnsi="Times New Roman" w:cs="Times New Roman"/>
          <w:sz w:val="20"/>
          <w:szCs w:val="20"/>
        </w:rPr>
        <w:t>139</w:t>
      </w:r>
      <w:r w:rsidRPr="00A04969">
        <w:rPr>
          <w:rFonts w:ascii="Times New Roman" w:hAnsi="Times New Roman" w:cs="Times New Roman"/>
          <w:sz w:val="20"/>
          <w:szCs w:val="20"/>
        </w:rPr>
        <w:fldChar w:fldCharType="end"/>
      </w:r>
      <w:r w:rsidRPr="00A04969">
        <w:rPr>
          <w:rFonts w:ascii="Times New Roman" w:hAnsi="Times New Roman" w:cs="Times New Roman"/>
          <w:sz w:val="20"/>
          <w:szCs w:val="20"/>
        </w:rPr>
        <w:t xml:space="preserve"> at 14-15.</w:t>
      </w:r>
      <w:proofErr w:type="gramEnd"/>
    </w:p>
  </w:footnote>
  <w:footnote w:id="241">
    <w:p w14:paraId="22636F98" w14:textId="09FB5D98"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proofErr w:type="gramStart"/>
      <w:r w:rsidRPr="00A04969">
        <w:rPr>
          <w:rFonts w:ascii="Times New Roman" w:hAnsi="Times New Roman" w:cs="Times New Roman"/>
          <w:bCs/>
          <w:sz w:val="20"/>
          <w:szCs w:val="20"/>
        </w:rPr>
        <w:t xml:space="preserve">CI Principles, </w:t>
      </w:r>
      <w:r w:rsidRPr="00A04969">
        <w:rPr>
          <w:rFonts w:ascii="Times New Roman" w:hAnsi="Times New Roman" w:cs="Times New Roman"/>
          <w:bCs/>
          <w:i/>
          <w:sz w:val="20"/>
          <w:szCs w:val="20"/>
        </w:rPr>
        <w:t xml:space="preserve">supra </w:t>
      </w:r>
      <w:r w:rsidRPr="00A04969">
        <w:rPr>
          <w:rFonts w:ascii="Times New Roman" w:hAnsi="Times New Roman" w:cs="Times New Roman"/>
          <w:bCs/>
          <w:sz w:val="20"/>
          <w:szCs w:val="20"/>
        </w:rPr>
        <w:t xml:space="preserve">n. </w:t>
      </w:r>
      <w:r w:rsidRPr="00A04969">
        <w:rPr>
          <w:rFonts w:ascii="Times New Roman" w:hAnsi="Times New Roman" w:cs="Times New Roman"/>
          <w:bCs/>
          <w:sz w:val="20"/>
          <w:szCs w:val="20"/>
          <w:highlight w:val="cyan"/>
        </w:rPr>
        <w:fldChar w:fldCharType="begin"/>
      </w:r>
      <w:r w:rsidRPr="00A04969">
        <w:rPr>
          <w:rFonts w:ascii="Times New Roman" w:hAnsi="Times New Roman" w:cs="Times New Roman"/>
          <w:bCs/>
          <w:sz w:val="20"/>
          <w:szCs w:val="20"/>
        </w:rPr>
        <w:instrText xml:space="preserve"> NOTEREF _Ref334080485 \h </w:instrText>
      </w:r>
      <w:r w:rsidRPr="00A04969">
        <w:rPr>
          <w:rFonts w:ascii="Times New Roman" w:hAnsi="Times New Roman" w:cs="Times New Roman"/>
          <w:bCs/>
          <w:sz w:val="20"/>
          <w:szCs w:val="20"/>
          <w:highlight w:val="cyan"/>
        </w:rPr>
      </w:r>
      <w:r w:rsidRPr="00A04969">
        <w:rPr>
          <w:rFonts w:ascii="Times New Roman" w:hAnsi="Times New Roman" w:cs="Times New Roman"/>
          <w:bCs/>
          <w:sz w:val="20"/>
          <w:szCs w:val="20"/>
          <w:highlight w:val="cyan"/>
        </w:rPr>
        <w:fldChar w:fldCharType="separate"/>
      </w:r>
      <w:r>
        <w:rPr>
          <w:rFonts w:ascii="Times New Roman" w:hAnsi="Times New Roman" w:cs="Times New Roman"/>
          <w:bCs/>
          <w:sz w:val="20"/>
          <w:szCs w:val="20"/>
        </w:rPr>
        <w:t>60</w:t>
      </w:r>
      <w:r w:rsidRPr="00A04969">
        <w:rPr>
          <w:rFonts w:ascii="Times New Roman" w:hAnsi="Times New Roman" w:cs="Times New Roman"/>
          <w:bCs/>
          <w:sz w:val="20"/>
          <w:szCs w:val="20"/>
          <w:highlight w:val="cyan"/>
        </w:rPr>
        <w:fldChar w:fldCharType="end"/>
      </w:r>
      <w:r w:rsidRPr="00A04969">
        <w:rPr>
          <w:rFonts w:ascii="Times New Roman" w:hAnsi="Times New Roman" w:cs="Times New Roman"/>
          <w:bCs/>
          <w:sz w:val="20"/>
          <w:szCs w:val="20"/>
        </w:rPr>
        <w:t xml:space="preserve"> </w:t>
      </w:r>
      <w:r w:rsidRPr="00A04969">
        <w:rPr>
          <w:rFonts w:ascii="Times New Roman" w:hAnsi="Times New Roman" w:cs="Times New Roman"/>
          <w:sz w:val="20"/>
          <w:szCs w:val="20"/>
        </w:rPr>
        <w:t xml:space="preserve">at 2; IUCN Standard, </w:t>
      </w:r>
      <w:r w:rsidRPr="00A04969">
        <w:rPr>
          <w:rFonts w:ascii="Times New Roman" w:hAnsi="Times New Roman" w:cs="Times New Roman"/>
          <w:i/>
          <w:sz w:val="20"/>
          <w:szCs w:val="20"/>
        </w:rPr>
        <w:t>supra</w:t>
      </w:r>
      <w:r w:rsidRPr="00A04969">
        <w:rPr>
          <w:rFonts w:ascii="Times New Roman" w:hAnsi="Times New Roman" w:cs="Times New Roman"/>
          <w:sz w:val="20"/>
          <w:szCs w:val="20"/>
        </w:rPr>
        <w:t xml:space="preserve"> n. </w:t>
      </w:r>
      <w:r w:rsidRPr="00A04969">
        <w:rPr>
          <w:rFonts w:ascii="Times New Roman" w:hAnsi="Times New Roman" w:cs="Times New Roman"/>
          <w:sz w:val="20"/>
          <w:szCs w:val="20"/>
        </w:rPr>
        <w:fldChar w:fldCharType="begin"/>
      </w:r>
      <w:r w:rsidRPr="00A04969">
        <w:rPr>
          <w:rFonts w:ascii="Times New Roman" w:hAnsi="Times New Roman" w:cs="Times New Roman"/>
          <w:sz w:val="20"/>
          <w:szCs w:val="20"/>
        </w:rPr>
        <w:instrText xml:space="preserve"> NOTEREF _Ref334083973 \h </w:instrText>
      </w:r>
      <w:r w:rsidRPr="00A04969">
        <w:rPr>
          <w:rFonts w:ascii="Times New Roman" w:hAnsi="Times New Roman" w:cs="Times New Roman"/>
          <w:sz w:val="20"/>
          <w:szCs w:val="20"/>
        </w:rPr>
      </w:r>
      <w:r w:rsidRPr="00A04969">
        <w:rPr>
          <w:rFonts w:ascii="Times New Roman" w:hAnsi="Times New Roman" w:cs="Times New Roman"/>
          <w:sz w:val="20"/>
          <w:szCs w:val="20"/>
        </w:rPr>
        <w:fldChar w:fldCharType="separate"/>
      </w:r>
      <w:r>
        <w:rPr>
          <w:rFonts w:ascii="Times New Roman" w:hAnsi="Times New Roman" w:cs="Times New Roman"/>
          <w:sz w:val="20"/>
          <w:szCs w:val="20"/>
        </w:rPr>
        <w:t>59</w:t>
      </w:r>
      <w:r w:rsidRPr="00A04969">
        <w:rPr>
          <w:rFonts w:ascii="Times New Roman" w:hAnsi="Times New Roman" w:cs="Times New Roman"/>
          <w:sz w:val="20"/>
          <w:szCs w:val="20"/>
        </w:rPr>
        <w:fldChar w:fldCharType="end"/>
      </w:r>
      <w:r w:rsidRPr="00A04969">
        <w:rPr>
          <w:rFonts w:ascii="Times New Roman" w:hAnsi="Times New Roman" w:cs="Times New Roman"/>
          <w:sz w:val="20"/>
          <w:szCs w:val="20"/>
        </w:rPr>
        <w:t xml:space="preserve"> at 7.</w:t>
      </w:r>
      <w:proofErr w:type="gramEnd"/>
      <w:r w:rsidRPr="00A04969">
        <w:rPr>
          <w:rFonts w:ascii="Times New Roman" w:hAnsi="Times New Roman" w:cs="Times New Roman"/>
          <w:sz w:val="20"/>
          <w:szCs w:val="20"/>
        </w:rPr>
        <w:t xml:space="preserve"> </w:t>
      </w:r>
    </w:p>
  </w:footnote>
  <w:footnote w:id="242">
    <w:p w14:paraId="2E2BC84A" w14:textId="2CB6A035" w:rsidR="00D43BBB" w:rsidRPr="00A04969" w:rsidRDefault="00D43BBB" w:rsidP="002420B7">
      <w:pPr>
        <w:rPr>
          <w:rFonts w:eastAsia="Times New Roman"/>
          <w:color w:val="000000"/>
          <w:sz w:val="20"/>
          <w:szCs w:val="20"/>
          <w:lang w:val="en-US"/>
        </w:rPr>
      </w:pPr>
      <w:r w:rsidRPr="00A04969">
        <w:rPr>
          <w:rStyle w:val="FootnoteReference"/>
          <w:sz w:val="20"/>
          <w:szCs w:val="20"/>
        </w:rPr>
        <w:footnoteRef/>
      </w:r>
      <w:r w:rsidRPr="00A04969">
        <w:rPr>
          <w:sz w:val="20"/>
          <w:szCs w:val="20"/>
        </w:rPr>
        <w:t xml:space="preserve"> </w:t>
      </w:r>
      <w:proofErr w:type="gramStart"/>
      <w:r w:rsidRPr="00A04969">
        <w:rPr>
          <w:rFonts w:eastAsia="Times New Roman"/>
          <w:color w:val="000000"/>
          <w:sz w:val="20"/>
          <w:szCs w:val="20"/>
          <w:lang w:val="en-US"/>
        </w:rPr>
        <w:t xml:space="preserve">IARPC Principles, </w:t>
      </w:r>
      <w:r w:rsidRPr="00A04969">
        <w:rPr>
          <w:rFonts w:eastAsia="Times New Roman"/>
          <w:i/>
          <w:color w:val="000000"/>
          <w:sz w:val="20"/>
          <w:szCs w:val="20"/>
          <w:lang w:val="en-US"/>
        </w:rPr>
        <w:t>supra</w:t>
      </w:r>
      <w:r w:rsidRPr="00A04969">
        <w:rPr>
          <w:rFonts w:eastAsia="Times New Roman"/>
          <w:color w:val="000000"/>
          <w:sz w:val="20"/>
          <w:szCs w:val="20"/>
          <w:lang w:val="en-US"/>
        </w:rPr>
        <w:t xml:space="preserve"> n. </w:t>
      </w:r>
      <w:r w:rsidRPr="00A04969">
        <w:rPr>
          <w:rFonts w:eastAsia="Times New Roman"/>
          <w:color w:val="000000"/>
          <w:sz w:val="20"/>
          <w:szCs w:val="20"/>
          <w:lang w:val="en-US"/>
        </w:rPr>
        <w:fldChar w:fldCharType="begin"/>
      </w:r>
      <w:r w:rsidRPr="00A04969">
        <w:rPr>
          <w:rFonts w:eastAsia="Times New Roman"/>
          <w:color w:val="000000"/>
          <w:sz w:val="20"/>
          <w:szCs w:val="20"/>
          <w:lang w:val="en-US"/>
        </w:rPr>
        <w:instrText xml:space="preserve"> NOTEREF _Ref334083103 \h </w:instrText>
      </w:r>
      <w:r w:rsidRPr="00A04969">
        <w:rPr>
          <w:rFonts w:eastAsia="Times New Roman"/>
          <w:color w:val="000000"/>
          <w:sz w:val="20"/>
          <w:szCs w:val="20"/>
          <w:lang w:val="en-US"/>
        </w:rPr>
      </w:r>
      <w:r w:rsidRPr="00A04969">
        <w:rPr>
          <w:rFonts w:eastAsia="Times New Roman"/>
          <w:color w:val="000000"/>
          <w:sz w:val="20"/>
          <w:szCs w:val="20"/>
          <w:lang w:val="en-US"/>
        </w:rPr>
        <w:fldChar w:fldCharType="separate"/>
      </w:r>
      <w:r>
        <w:rPr>
          <w:rFonts w:eastAsia="Times New Roman"/>
          <w:color w:val="000000"/>
          <w:sz w:val="20"/>
          <w:szCs w:val="20"/>
          <w:lang w:val="en-US"/>
        </w:rPr>
        <w:t>57</w:t>
      </w:r>
      <w:r w:rsidRPr="00A04969">
        <w:rPr>
          <w:rFonts w:eastAsia="Times New Roman"/>
          <w:color w:val="000000"/>
          <w:sz w:val="20"/>
          <w:szCs w:val="20"/>
          <w:lang w:val="en-US"/>
        </w:rPr>
        <w:fldChar w:fldCharType="end"/>
      </w:r>
      <w:r w:rsidRPr="00A04969">
        <w:rPr>
          <w:rFonts w:eastAsia="Times New Roman"/>
          <w:color w:val="000000"/>
          <w:sz w:val="20"/>
          <w:szCs w:val="20"/>
          <w:lang w:val="en-US"/>
        </w:rPr>
        <w:t xml:space="preserve">; </w:t>
      </w:r>
      <w:r w:rsidRPr="00A04969">
        <w:rPr>
          <w:bCs/>
          <w:kern w:val="36"/>
          <w:sz w:val="20"/>
          <w:szCs w:val="20"/>
        </w:rPr>
        <w:t xml:space="preserve">AFN Guidelines, </w:t>
      </w:r>
      <w:r w:rsidRPr="00A04969">
        <w:rPr>
          <w:bCs/>
          <w:i/>
          <w:kern w:val="36"/>
          <w:sz w:val="20"/>
          <w:szCs w:val="20"/>
        </w:rPr>
        <w:t>supra</w:t>
      </w:r>
      <w:r w:rsidRPr="00A04969">
        <w:rPr>
          <w:bCs/>
          <w:kern w:val="36"/>
          <w:sz w:val="20"/>
          <w:szCs w:val="20"/>
        </w:rPr>
        <w:t xml:space="preserve"> n. </w:t>
      </w:r>
      <w:r w:rsidRPr="00A04969">
        <w:rPr>
          <w:bCs/>
          <w:kern w:val="36"/>
          <w:sz w:val="20"/>
          <w:szCs w:val="20"/>
        </w:rPr>
        <w:fldChar w:fldCharType="begin"/>
      </w:r>
      <w:r w:rsidRPr="00A04969">
        <w:rPr>
          <w:bCs/>
          <w:kern w:val="36"/>
          <w:sz w:val="20"/>
          <w:szCs w:val="20"/>
        </w:rPr>
        <w:instrText xml:space="preserve"> NOTEREF _Ref334084445 \h </w:instrText>
      </w:r>
      <w:r w:rsidRPr="00A04969">
        <w:rPr>
          <w:bCs/>
          <w:kern w:val="36"/>
          <w:sz w:val="20"/>
          <w:szCs w:val="20"/>
        </w:rPr>
      </w:r>
      <w:r w:rsidRPr="00A04969">
        <w:rPr>
          <w:bCs/>
          <w:kern w:val="36"/>
          <w:sz w:val="20"/>
          <w:szCs w:val="20"/>
        </w:rPr>
        <w:fldChar w:fldCharType="separate"/>
      </w:r>
      <w:r>
        <w:rPr>
          <w:bCs/>
          <w:kern w:val="36"/>
          <w:sz w:val="20"/>
          <w:szCs w:val="20"/>
        </w:rPr>
        <w:t>71</w:t>
      </w:r>
      <w:r w:rsidRPr="00A04969">
        <w:rPr>
          <w:bCs/>
          <w:kern w:val="36"/>
          <w:sz w:val="20"/>
          <w:szCs w:val="20"/>
        </w:rPr>
        <w:fldChar w:fldCharType="end"/>
      </w:r>
      <w:r w:rsidRPr="00A04969">
        <w:rPr>
          <w:bCs/>
          <w:kern w:val="36"/>
          <w:sz w:val="20"/>
          <w:szCs w:val="20"/>
        </w:rPr>
        <w:t>.</w:t>
      </w:r>
      <w:proofErr w:type="gramEnd"/>
    </w:p>
  </w:footnote>
  <w:footnote w:id="243">
    <w:p w14:paraId="11F1F582" w14:textId="4F67CDD6"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Fenge, T. and Funston, B., </w:t>
      </w:r>
      <w:r w:rsidRPr="00A04969">
        <w:rPr>
          <w:rFonts w:ascii="Times New Roman" w:hAnsi="Times New Roman" w:cs="Times New Roman"/>
          <w:bCs/>
          <w:sz w:val="20"/>
          <w:szCs w:val="20"/>
        </w:rPr>
        <w:t>Arctic Governance: Traditional Knowledge of Arctic Indigenous Peoples from and International Policy Perspective at 8 (2009).</w:t>
      </w:r>
    </w:p>
  </w:footnote>
  <w:footnote w:id="244">
    <w:p w14:paraId="0A6424D7" w14:textId="77777777"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proofErr w:type="gramStart"/>
      <w:r w:rsidRPr="00A04969">
        <w:rPr>
          <w:rFonts w:ascii="Times New Roman" w:hAnsi="Times New Roman" w:cs="Times New Roman"/>
          <w:i/>
          <w:sz w:val="20"/>
          <w:szCs w:val="20"/>
        </w:rPr>
        <w:t>Id</w:t>
      </w:r>
      <w:r w:rsidRPr="00A04969">
        <w:rPr>
          <w:rFonts w:ascii="Times New Roman" w:hAnsi="Times New Roman" w:cs="Times New Roman"/>
          <w:sz w:val="20"/>
          <w:szCs w:val="20"/>
        </w:rPr>
        <w:t>. at 9.</w:t>
      </w:r>
      <w:proofErr w:type="gramEnd"/>
    </w:p>
  </w:footnote>
  <w:footnote w:id="245">
    <w:p w14:paraId="3EE610D1" w14:textId="15FE1E57" w:rsidR="00D43BBB" w:rsidRPr="00A04969" w:rsidRDefault="00D43BBB" w:rsidP="002420B7">
      <w:pPr>
        <w:rPr>
          <w:rFonts w:eastAsia="Times New Roman"/>
          <w:color w:val="000000"/>
          <w:sz w:val="20"/>
          <w:szCs w:val="20"/>
          <w:lang w:val="en-US"/>
        </w:rPr>
      </w:pPr>
      <w:r w:rsidRPr="00A04969">
        <w:rPr>
          <w:rStyle w:val="FootnoteReference"/>
          <w:sz w:val="20"/>
          <w:szCs w:val="20"/>
        </w:rPr>
        <w:footnoteRef/>
      </w:r>
      <w:r w:rsidRPr="00A04969">
        <w:rPr>
          <w:sz w:val="20"/>
          <w:szCs w:val="20"/>
        </w:rPr>
        <w:t xml:space="preserve"> </w:t>
      </w:r>
      <w:proofErr w:type="gramStart"/>
      <w:r w:rsidRPr="00A04969">
        <w:rPr>
          <w:sz w:val="20"/>
          <w:szCs w:val="20"/>
        </w:rPr>
        <w:t>AANE Guidelines</w:t>
      </w:r>
      <w:r w:rsidRPr="00A04969">
        <w:rPr>
          <w:rFonts w:eastAsia="Times New Roman"/>
          <w:color w:val="000000"/>
          <w:sz w:val="20"/>
          <w:szCs w:val="20"/>
          <w:lang w:val="en-US"/>
        </w:rPr>
        <w:t xml:space="preserve">, supra n. </w:t>
      </w:r>
      <w:r w:rsidRPr="00A04969">
        <w:rPr>
          <w:rFonts w:eastAsia="Times New Roman"/>
          <w:color w:val="000000"/>
          <w:sz w:val="20"/>
          <w:szCs w:val="20"/>
          <w:lang w:val="en-US"/>
        </w:rPr>
        <w:fldChar w:fldCharType="begin"/>
      </w:r>
      <w:r w:rsidRPr="00A04969">
        <w:rPr>
          <w:rFonts w:eastAsia="Times New Roman"/>
          <w:color w:val="000000"/>
          <w:sz w:val="20"/>
          <w:szCs w:val="20"/>
          <w:lang w:val="en-US"/>
        </w:rPr>
        <w:instrText xml:space="preserve"> NOTEREF _Ref333569950 \h </w:instrText>
      </w:r>
      <w:r w:rsidRPr="00A04969">
        <w:rPr>
          <w:rFonts w:eastAsia="Times New Roman"/>
          <w:color w:val="000000"/>
          <w:sz w:val="20"/>
          <w:szCs w:val="20"/>
          <w:lang w:val="en-US"/>
        </w:rPr>
      </w:r>
      <w:r w:rsidRPr="00A04969">
        <w:rPr>
          <w:rFonts w:eastAsia="Times New Roman"/>
          <w:color w:val="000000"/>
          <w:sz w:val="20"/>
          <w:szCs w:val="20"/>
          <w:lang w:val="en-US"/>
        </w:rPr>
        <w:fldChar w:fldCharType="separate"/>
      </w:r>
      <w:r>
        <w:rPr>
          <w:rFonts w:eastAsia="Times New Roman"/>
          <w:color w:val="000000"/>
          <w:sz w:val="20"/>
          <w:szCs w:val="20"/>
          <w:lang w:val="en-US"/>
        </w:rPr>
        <w:t>126</w:t>
      </w:r>
      <w:r w:rsidRPr="00A04969">
        <w:rPr>
          <w:rFonts w:eastAsia="Times New Roman"/>
          <w:color w:val="000000"/>
          <w:sz w:val="20"/>
          <w:szCs w:val="20"/>
          <w:lang w:val="en-US"/>
        </w:rPr>
        <w:fldChar w:fldCharType="end"/>
      </w:r>
      <w:r w:rsidRPr="00A04969">
        <w:rPr>
          <w:rFonts w:eastAsia="Times New Roman"/>
          <w:color w:val="000000"/>
          <w:sz w:val="20"/>
          <w:szCs w:val="20"/>
          <w:lang w:val="en-US"/>
        </w:rPr>
        <w:t xml:space="preserve"> at 15.</w:t>
      </w:r>
      <w:proofErr w:type="gramEnd"/>
    </w:p>
  </w:footnote>
  <w:footnote w:id="246">
    <w:p w14:paraId="38449326" w14:textId="0FF56CA4" w:rsidR="00D43BBB" w:rsidRPr="00A04969" w:rsidRDefault="00D43BBB" w:rsidP="002420B7">
      <w:pPr>
        <w:widowControl w:val="0"/>
        <w:autoSpaceDE w:val="0"/>
        <w:autoSpaceDN w:val="0"/>
        <w:adjustRightInd w:val="0"/>
        <w:rPr>
          <w:sz w:val="20"/>
          <w:szCs w:val="20"/>
          <w:lang w:val="en-US"/>
        </w:rPr>
      </w:pPr>
      <w:r w:rsidRPr="00A04969">
        <w:rPr>
          <w:rStyle w:val="FootnoteReference"/>
          <w:sz w:val="20"/>
          <w:szCs w:val="20"/>
        </w:rPr>
        <w:footnoteRef/>
      </w:r>
      <w:r w:rsidRPr="00A04969">
        <w:rPr>
          <w:sz w:val="20"/>
          <w:szCs w:val="20"/>
        </w:rPr>
        <w:t xml:space="preserve"> </w:t>
      </w:r>
      <w:r w:rsidRPr="00A04969">
        <w:rPr>
          <w:iCs/>
          <w:sz w:val="20"/>
          <w:szCs w:val="20"/>
          <w:lang w:val="en-US"/>
        </w:rPr>
        <w:t>Knopp, J. et al.,</w:t>
      </w:r>
      <w:r w:rsidRPr="00A04969">
        <w:rPr>
          <w:i/>
          <w:iCs/>
          <w:sz w:val="20"/>
          <w:szCs w:val="20"/>
          <w:lang w:val="en-US"/>
        </w:rPr>
        <w:t xml:space="preserve"> Arctic Char Growth</w:t>
      </w:r>
      <w:r w:rsidRPr="00A04969">
        <w:rPr>
          <w:iCs/>
          <w:sz w:val="20"/>
          <w:szCs w:val="20"/>
          <w:lang w:val="en-US"/>
        </w:rPr>
        <w:t xml:space="preserve"> </w:t>
      </w:r>
      <w:r w:rsidRPr="00A04969">
        <w:rPr>
          <w:bCs/>
          <w:sz w:val="20"/>
          <w:szCs w:val="20"/>
          <w:lang w:val="en-US"/>
        </w:rPr>
        <w:t xml:space="preserve">in </w:t>
      </w:r>
      <w:r w:rsidRPr="00A04969">
        <w:rPr>
          <w:sz w:val="20"/>
          <w:szCs w:val="20"/>
          <w:lang w:val="en-US"/>
        </w:rPr>
        <w:t>Fishing People of the North: Cultures, Economies, and Management Responding to Change 180 (</w:t>
      </w:r>
      <w:r w:rsidRPr="00A04969">
        <w:rPr>
          <w:bCs/>
          <w:sz w:val="20"/>
          <w:szCs w:val="20"/>
          <w:lang w:val="en-US"/>
        </w:rPr>
        <w:t>Carothers, C et al, eds</w:t>
      </w:r>
      <w:r w:rsidRPr="00A04969">
        <w:rPr>
          <w:sz w:val="20"/>
          <w:szCs w:val="20"/>
          <w:lang w:val="en-US"/>
        </w:rPr>
        <w:t>., 2012).</w:t>
      </w:r>
    </w:p>
  </w:footnote>
  <w:footnote w:id="247">
    <w:p w14:paraId="1216EB58" w14:textId="5942AB8A"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proofErr w:type="gramStart"/>
      <w:r w:rsidRPr="00A04969">
        <w:rPr>
          <w:rFonts w:ascii="Times New Roman" w:hAnsi="Times New Roman" w:cs="Times New Roman"/>
          <w:sz w:val="20"/>
          <w:szCs w:val="20"/>
        </w:rPr>
        <w:t>ILO No. 169 art 7(3).</w:t>
      </w:r>
      <w:proofErr w:type="gramEnd"/>
    </w:p>
  </w:footnote>
  <w:footnote w:id="248">
    <w:p w14:paraId="144F382F" w14:textId="020244A1" w:rsidR="00D43BBB" w:rsidRPr="00A04969" w:rsidRDefault="00D43BBB" w:rsidP="002420B7">
      <w:pPr>
        <w:widowControl w:val="0"/>
        <w:numPr>
          <w:ilvl w:val="0"/>
          <w:numId w:val="1"/>
        </w:numPr>
        <w:tabs>
          <w:tab w:val="left" w:pos="220"/>
          <w:tab w:val="left" w:pos="720"/>
        </w:tabs>
        <w:autoSpaceDE w:val="0"/>
        <w:autoSpaceDN w:val="0"/>
        <w:adjustRightInd w:val="0"/>
        <w:ind w:hanging="720"/>
        <w:rPr>
          <w:b/>
          <w:bCs/>
          <w:sz w:val="20"/>
          <w:szCs w:val="20"/>
          <w:lang w:val="en-US"/>
        </w:rPr>
      </w:pPr>
      <w:r w:rsidRPr="00A04969">
        <w:rPr>
          <w:rStyle w:val="FootnoteReference"/>
          <w:sz w:val="20"/>
          <w:szCs w:val="20"/>
        </w:rPr>
        <w:footnoteRef/>
      </w:r>
      <w:r w:rsidRPr="00A04969">
        <w:rPr>
          <w:sz w:val="20"/>
          <w:szCs w:val="20"/>
        </w:rPr>
        <w:t xml:space="preserve"> </w:t>
      </w:r>
      <w:r w:rsidRPr="00A04969">
        <w:rPr>
          <w:bCs/>
          <w:sz w:val="20"/>
          <w:szCs w:val="20"/>
          <w:lang w:val="en-US"/>
        </w:rPr>
        <w:t>42 U.S.C. §§ 4331-4335.</w:t>
      </w:r>
      <w:r w:rsidRPr="00A04969">
        <w:rPr>
          <w:b/>
          <w:bCs/>
          <w:sz w:val="20"/>
          <w:szCs w:val="20"/>
          <w:lang w:val="en-US"/>
        </w:rPr>
        <w:t xml:space="preserve"> </w:t>
      </w:r>
    </w:p>
  </w:footnote>
  <w:footnote w:id="249">
    <w:p w14:paraId="3E2B12CE" w14:textId="6B55BB1A" w:rsidR="00D43BBB" w:rsidRPr="00A04969" w:rsidRDefault="00D43BBB" w:rsidP="002420B7">
      <w:pPr>
        <w:widowControl w:val="0"/>
        <w:numPr>
          <w:ilvl w:val="0"/>
          <w:numId w:val="1"/>
        </w:numPr>
        <w:tabs>
          <w:tab w:val="left" w:pos="220"/>
          <w:tab w:val="left" w:pos="720"/>
        </w:tabs>
        <w:autoSpaceDE w:val="0"/>
        <w:autoSpaceDN w:val="0"/>
        <w:adjustRightInd w:val="0"/>
        <w:ind w:hanging="720"/>
        <w:rPr>
          <w:sz w:val="20"/>
          <w:szCs w:val="20"/>
          <w:lang w:val="en-US"/>
        </w:rPr>
      </w:pPr>
      <w:r w:rsidRPr="00A04969">
        <w:rPr>
          <w:rStyle w:val="FootnoteReference"/>
          <w:sz w:val="20"/>
          <w:szCs w:val="20"/>
        </w:rPr>
        <w:footnoteRef/>
      </w:r>
      <w:r w:rsidRPr="00A04969">
        <w:rPr>
          <w:sz w:val="20"/>
          <w:szCs w:val="20"/>
        </w:rPr>
        <w:t xml:space="preserve"> </w:t>
      </w:r>
      <w:r w:rsidRPr="00A04969">
        <w:rPr>
          <w:bCs/>
          <w:sz w:val="20"/>
          <w:szCs w:val="20"/>
          <w:lang w:val="en-US"/>
        </w:rPr>
        <w:t xml:space="preserve">40 C.F.R. </w:t>
      </w:r>
      <w:r w:rsidRPr="00A04969">
        <w:rPr>
          <w:bCs/>
          <w:iCs/>
          <w:sz w:val="20"/>
          <w:szCs w:val="20"/>
          <w:lang w:val="en-US"/>
        </w:rPr>
        <w:t>§§</w:t>
      </w:r>
      <w:r w:rsidRPr="00A04969">
        <w:rPr>
          <w:bCs/>
          <w:i/>
          <w:iCs/>
          <w:sz w:val="20"/>
          <w:szCs w:val="20"/>
          <w:lang w:val="en-US"/>
        </w:rPr>
        <w:t xml:space="preserve"> </w:t>
      </w:r>
      <w:r w:rsidRPr="00A04969">
        <w:rPr>
          <w:bCs/>
          <w:sz w:val="20"/>
          <w:szCs w:val="20"/>
          <w:lang w:val="en-US"/>
        </w:rPr>
        <w:t>1501.6(b)(2), 1501.7(a), 1501.6(b)(3).</w:t>
      </w:r>
      <w:r w:rsidRPr="00A04969">
        <w:rPr>
          <w:b/>
          <w:bCs/>
          <w:sz w:val="20"/>
          <w:szCs w:val="20"/>
          <w:lang w:val="en-US"/>
        </w:rPr>
        <w:t xml:space="preserve"> </w:t>
      </w:r>
    </w:p>
  </w:footnote>
  <w:footnote w:id="250">
    <w:p w14:paraId="63BF93FA" w14:textId="29E5465C" w:rsidR="00D43BBB" w:rsidRPr="00A04969" w:rsidRDefault="00D43BBB" w:rsidP="002420B7">
      <w:pPr>
        <w:widowControl w:val="0"/>
        <w:autoSpaceDE w:val="0"/>
        <w:autoSpaceDN w:val="0"/>
        <w:adjustRightInd w:val="0"/>
        <w:rPr>
          <w:sz w:val="20"/>
          <w:szCs w:val="20"/>
          <w:lang w:val="en-US"/>
        </w:rPr>
      </w:pPr>
      <w:r w:rsidRPr="00A04969">
        <w:rPr>
          <w:rStyle w:val="FootnoteReference"/>
          <w:sz w:val="20"/>
          <w:szCs w:val="20"/>
        </w:rPr>
        <w:footnoteRef/>
      </w:r>
      <w:r w:rsidRPr="00A04969">
        <w:rPr>
          <w:sz w:val="20"/>
          <w:szCs w:val="20"/>
        </w:rPr>
        <w:t xml:space="preserve"> </w:t>
      </w:r>
      <w:r w:rsidRPr="00A04969">
        <w:rPr>
          <w:sz w:val="20"/>
          <w:szCs w:val="20"/>
          <w:lang w:val="en-US"/>
        </w:rPr>
        <w:t>Law of the Sakha (Yakutia) Republic Dated as of 14 April 2010 820-3N 537-IV “On Ethnological Review in the Areas Traditionally Occupied and Utilized by Indigenous Small-numbered People of the Republic Sakha’s (Yakutia) North,” art. 3, 2015</w:t>
      </w:r>
      <w:r w:rsidRPr="00A04969">
        <w:rPr>
          <w:sz w:val="20"/>
          <w:szCs w:val="20"/>
        </w:rPr>
        <w:t xml:space="preserve">; </w:t>
      </w:r>
      <w:r w:rsidRPr="00A04969">
        <w:rPr>
          <w:color w:val="1A1A1A"/>
          <w:sz w:val="20"/>
          <w:szCs w:val="20"/>
        </w:rPr>
        <w:t xml:space="preserve">Akwé Kon: Voluntary Guidelines, </w:t>
      </w:r>
      <w:r w:rsidRPr="00A04969">
        <w:rPr>
          <w:i/>
          <w:color w:val="1A1A1A"/>
          <w:sz w:val="20"/>
          <w:szCs w:val="20"/>
        </w:rPr>
        <w:t>supra</w:t>
      </w:r>
      <w:r w:rsidRPr="00A04969">
        <w:rPr>
          <w:color w:val="1A1A1A"/>
          <w:sz w:val="20"/>
          <w:szCs w:val="20"/>
        </w:rPr>
        <w:t xml:space="preserve"> n. </w:t>
      </w:r>
      <w:r w:rsidRPr="00A04969">
        <w:rPr>
          <w:color w:val="1A1A1A"/>
          <w:sz w:val="20"/>
          <w:szCs w:val="20"/>
        </w:rPr>
        <w:fldChar w:fldCharType="begin"/>
      </w:r>
      <w:r w:rsidRPr="00A04969">
        <w:rPr>
          <w:color w:val="1A1A1A"/>
          <w:sz w:val="20"/>
          <w:szCs w:val="20"/>
        </w:rPr>
        <w:instrText xml:space="preserve"> NOTEREF _Ref333348796 \h </w:instrText>
      </w:r>
      <w:r w:rsidRPr="00A04969">
        <w:rPr>
          <w:color w:val="1A1A1A"/>
          <w:sz w:val="20"/>
          <w:szCs w:val="20"/>
        </w:rPr>
      </w:r>
      <w:r w:rsidRPr="00A04969">
        <w:rPr>
          <w:color w:val="1A1A1A"/>
          <w:sz w:val="20"/>
          <w:szCs w:val="20"/>
        </w:rPr>
        <w:fldChar w:fldCharType="separate"/>
      </w:r>
      <w:r>
        <w:rPr>
          <w:color w:val="1A1A1A"/>
          <w:sz w:val="20"/>
          <w:szCs w:val="20"/>
        </w:rPr>
        <w:t>13</w:t>
      </w:r>
      <w:r w:rsidRPr="00A04969">
        <w:rPr>
          <w:color w:val="1A1A1A"/>
          <w:sz w:val="20"/>
          <w:szCs w:val="20"/>
        </w:rPr>
        <w:fldChar w:fldCharType="end"/>
      </w:r>
      <w:r w:rsidRPr="00A04969">
        <w:rPr>
          <w:sz w:val="20"/>
          <w:szCs w:val="20"/>
        </w:rPr>
        <w:t xml:space="preserve"> </w:t>
      </w:r>
      <w:r w:rsidRPr="00A04969">
        <w:rPr>
          <w:color w:val="1A1A1A"/>
          <w:sz w:val="20"/>
          <w:szCs w:val="20"/>
        </w:rPr>
        <w:t xml:space="preserve">at 10-11; Agreement between the Inuit of the Nunavut Settlement Area and her Majesty the Queen in Right of Canada, 1993 </w:t>
      </w:r>
      <w:r w:rsidRPr="00A04969">
        <w:rPr>
          <w:sz w:val="20"/>
          <w:szCs w:val="20"/>
        </w:rPr>
        <w:t>§§ 12.2.1-12.2.5, 12.4.1-12.4.7</w:t>
      </w:r>
      <w:r w:rsidRPr="00A04969">
        <w:rPr>
          <w:color w:val="1A1A1A"/>
          <w:sz w:val="20"/>
          <w:szCs w:val="20"/>
        </w:rPr>
        <w:t xml:space="preserve"> (creating Nunavut Impact Review Board) [hereinafter Nunavut Land Claims Agreement];</w:t>
      </w:r>
      <w:r w:rsidRPr="00A04969">
        <w:rPr>
          <w:sz w:val="20"/>
          <w:szCs w:val="20"/>
        </w:rPr>
        <w:t xml:space="preserve"> </w:t>
      </w:r>
      <w:r w:rsidRPr="00A04969">
        <w:rPr>
          <w:iCs/>
          <w:sz w:val="20"/>
          <w:szCs w:val="20"/>
        </w:rPr>
        <w:t>Guiding Principles</w:t>
      </w:r>
      <w:r w:rsidRPr="00A04969">
        <w:rPr>
          <w:sz w:val="20"/>
          <w:szCs w:val="20"/>
        </w:rPr>
        <w:t xml:space="preserve">, </w:t>
      </w:r>
      <w:r w:rsidRPr="00A04969">
        <w:rPr>
          <w:i/>
          <w:sz w:val="20"/>
          <w:szCs w:val="20"/>
        </w:rPr>
        <w:t>supra</w:t>
      </w:r>
      <w:r w:rsidRPr="00A04969">
        <w:rPr>
          <w:sz w:val="20"/>
          <w:szCs w:val="20"/>
        </w:rPr>
        <w:t xml:space="preserve"> n. </w:t>
      </w:r>
      <w:r w:rsidRPr="00A04969">
        <w:rPr>
          <w:sz w:val="20"/>
          <w:szCs w:val="20"/>
        </w:rPr>
        <w:fldChar w:fldCharType="begin"/>
      </w:r>
      <w:r w:rsidRPr="00A04969">
        <w:rPr>
          <w:sz w:val="20"/>
          <w:szCs w:val="20"/>
        </w:rPr>
        <w:instrText xml:space="preserve"> NOTEREF _Ref333307740 \h </w:instrText>
      </w:r>
      <w:r w:rsidRPr="00A04969">
        <w:rPr>
          <w:sz w:val="20"/>
          <w:szCs w:val="20"/>
        </w:rPr>
      </w:r>
      <w:r w:rsidRPr="00A04969">
        <w:rPr>
          <w:sz w:val="20"/>
          <w:szCs w:val="20"/>
        </w:rPr>
        <w:fldChar w:fldCharType="separate"/>
      </w:r>
      <w:r>
        <w:rPr>
          <w:sz w:val="20"/>
          <w:szCs w:val="20"/>
        </w:rPr>
        <w:t>11</w:t>
      </w:r>
      <w:r w:rsidRPr="00A04969">
        <w:rPr>
          <w:sz w:val="20"/>
          <w:szCs w:val="20"/>
        </w:rPr>
        <w:fldChar w:fldCharType="end"/>
      </w:r>
      <w:r w:rsidRPr="00A04969">
        <w:rPr>
          <w:sz w:val="20"/>
          <w:szCs w:val="20"/>
        </w:rPr>
        <w:t>, ¶ 18(b).</w:t>
      </w:r>
    </w:p>
  </w:footnote>
  <w:footnote w:id="251">
    <w:p w14:paraId="4A8CC5E7" w14:textId="4B85169C" w:rsidR="00D43BBB" w:rsidRPr="00A04969" w:rsidRDefault="00D43BBB" w:rsidP="002420B7">
      <w:pPr>
        <w:rPr>
          <w:rFonts w:eastAsia="Times New Roman"/>
          <w:color w:val="000000"/>
          <w:sz w:val="20"/>
          <w:szCs w:val="20"/>
          <w:lang w:val="en-US"/>
        </w:rPr>
      </w:pPr>
      <w:r w:rsidRPr="00A04969">
        <w:rPr>
          <w:rStyle w:val="FootnoteReference"/>
          <w:sz w:val="20"/>
          <w:szCs w:val="20"/>
        </w:rPr>
        <w:footnoteRef/>
      </w:r>
      <w:r w:rsidRPr="00A04969">
        <w:rPr>
          <w:sz w:val="20"/>
          <w:szCs w:val="20"/>
        </w:rPr>
        <w:t xml:space="preserve"> Armitage, D. et al., </w:t>
      </w:r>
      <w:r w:rsidRPr="00A04969">
        <w:rPr>
          <w:rFonts w:eastAsia="Times New Roman"/>
          <w:color w:val="000000"/>
          <w:sz w:val="20"/>
          <w:szCs w:val="20"/>
          <w:lang w:val="en-US"/>
        </w:rPr>
        <w:t>Co-Management and the co-production of knowledge: Learning to Adapt in Canada’s Arctic, 21 Global Environmental Change 995, 996 (2011).</w:t>
      </w:r>
    </w:p>
  </w:footnote>
  <w:footnote w:id="252">
    <w:p w14:paraId="472A9357" w14:textId="5506B5D4" w:rsidR="00D43BBB" w:rsidRPr="00A04969" w:rsidRDefault="00D43BBB" w:rsidP="002420B7">
      <w:pPr>
        <w:widowControl w:val="0"/>
        <w:autoSpaceDE w:val="0"/>
        <w:autoSpaceDN w:val="0"/>
        <w:adjustRightInd w:val="0"/>
        <w:rPr>
          <w:sz w:val="20"/>
          <w:szCs w:val="20"/>
          <w:lang w:val="en-US"/>
        </w:rPr>
      </w:pPr>
      <w:r w:rsidRPr="00A04969">
        <w:rPr>
          <w:rStyle w:val="FootnoteReference"/>
          <w:sz w:val="20"/>
          <w:szCs w:val="20"/>
        </w:rPr>
        <w:footnoteRef/>
      </w:r>
      <w:r w:rsidRPr="00A04969">
        <w:rPr>
          <w:sz w:val="20"/>
          <w:szCs w:val="20"/>
        </w:rPr>
        <w:t xml:space="preserve"> </w:t>
      </w:r>
      <w:r w:rsidRPr="00A04969">
        <w:rPr>
          <w:sz w:val="20"/>
          <w:szCs w:val="20"/>
          <w:lang w:val="en-US"/>
        </w:rPr>
        <w:t>Johnson, N., et al, Community-Based Monitoring and Indigenous Knowledge in a Changing Arctic: A Review for the Sustaining Arctic Observing Networks at x (Inuit Circumpolar Council, 2016).</w:t>
      </w:r>
    </w:p>
  </w:footnote>
  <w:footnote w:id="253">
    <w:p w14:paraId="0D0B08D3" w14:textId="6C8F4307"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Kimmel, M., Fate Control and Human Rights, 31:2 Alaska Law Review 179, 206 (2014).</w:t>
      </w:r>
    </w:p>
  </w:footnote>
  <w:footnote w:id="254">
    <w:p w14:paraId="7B5E36D4" w14:textId="5201C462"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proofErr w:type="gramStart"/>
      <w:r w:rsidRPr="00A04969">
        <w:rPr>
          <w:rFonts w:ascii="Times New Roman" w:hAnsi="Times New Roman" w:cs="Times New Roman"/>
          <w:i/>
          <w:sz w:val="20"/>
          <w:szCs w:val="20"/>
        </w:rPr>
        <w:t xml:space="preserve">Id. </w:t>
      </w:r>
      <w:r w:rsidRPr="00A04969">
        <w:rPr>
          <w:rFonts w:ascii="Times New Roman" w:hAnsi="Times New Roman" w:cs="Times New Roman"/>
          <w:sz w:val="20"/>
          <w:szCs w:val="20"/>
        </w:rPr>
        <w:t>at 208.</w:t>
      </w:r>
      <w:proofErr w:type="gramEnd"/>
    </w:p>
  </w:footnote>
  <w:footnote w:id="255">
    <w:p w14:paraId="686A5B59" w14:textId="0611F0E7"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proofErr w:type="gramStart"/>
      <w:r w:rsidRPr="00A04969">
        <w:rPr>
          <w:rFonts w:ascii="Times New Roman" w:hAnsi="Times New Roman" w:cs="Times New Roman"/>
          <w:sz w:val="20"/>
          <w:szCs w:val="20"/>
        </w:rPr>
        <w:t xml:space="preserve">AACA (a), </w:t>
      </w:r>
      <w:r w:rsidRPr="00A04969">
        <w:rPr>
          <w:rFonts w:ascii="Times New Roman" w:hAnsi="Times New Roman" w:cs="Times New Roman"/>
          <w:i/>
          <w:sz w:val="20"/>
          <w:szCs w:val="20"/>
        </w:rPr>
        <w:t>supra</w:t>
      </w:r>
      <w:r w:rsidRPr="00A04969">
        <w:rPr>
          <w:rFonts w:ascii="Times New Roman" w:hAnsi="Times New Roman" w:cs="Times New Roman"/>
          <w:sz w:val="20"/>
          <w:szCs w:val="20"/>
        </w:rPr>
        <w:t xml:space="preserve"> n. </w:t>
      </w:r>
      <w:r w:rsidRPr="00A04969">
        <w:rPr>
          <w:rFonts w:ascii="Times New Roman" w:hAnsi="Times New Roman" w:cs="Times New Roman"/>
          <w:sz w:val="20"/>
          <w:szCs w:val="20"/>
        </w:rPr>
        <w:fldChar w:fldCharType="begin"/>
      </w:r>
      <w:r w:rsidRPr="00A04969">
        <w:rPr>
          <w:rFonts w:ascii="Times New Roman" w:hAnsi="Times New Roman" w:cs="Times New Roman"/>
          <w:sz w:val="20"/>
          <w:szCs w:val="20"/>
        </w:rPr>
        <w:instrText xml:space="preserve"> NOTEREF _Ref333606215 \h </w:instrText>
      </w:r>
      <w:r w:rsidRPr="00A04969">
        <w:rPr>
          <w:rFonts w:ascii="Times New Roman" w:hAnsi="Times New Roman" w:cs="Times New Roman"/>
          <w:sz w:val="20"/>
          <w:szCs w:val="20"/>
        </w:rPr>
      </w:r>
      <w:r w:rsidRPr="00A04969">
        <w:rPr>
          <w:rFonts w:ascii="Times New Roman" w:hAnsi="Times New Roman" w:cs="Times New Roman"/>
          <w:sz w:val="20"/>
          <w:szCs w:val="20"/>
        </w:rPr>
        <w:fldChar w:fldCharType="separate"/>
      </w:r>
      <w:r>
        <w:rPr>
          <w:rFonts w:ascii="Times New Roman" w:hAnsi="Times New Roman" w:cs="Times New Roman"/>
          <w:sz w:val="20"/>
          <w:szCs w:val="20"/>
        </w:rPr>
        <w:t>161</w:t>
      </w:r>
      <w:r w:rsidRPr="00A04969">
        <w:rPr>
          <w:rFonts w:ascii="Times New Roman" w:hAnsi="Times New Roman" w:cs="Times New Roman"/>
          <w:sz w:val="20"/>
          <w:szCs w:val="20"/>
        </w:rPr>
        <w:fldChar w:fldCharType="end"/>
      </w:r>
      <w:r w:rsidRPr="00A04969">
        <w:rPr>
          <w:rFonts w:ascii="Times New Roman" w:hAnsi="Times New Roman" w:cs="Times New Roman"/>
          <w:sz w:val="20"/>
          <w:szCs w:val="20"/>
        </w:rPr>
        <w:t xml:space="preserve"> at 7.</w:t>
      </w:r>
      <w:proofErr w:type="gramEnd"/>
    </w:p>
  </w:footnote>
  <w:footnote w:id="256">
    <w:p w14:paraId="0DCF09C0" w14:textId="5284EF78"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proofErr w:type="gramStart"/>
      <w:r w:rsidRPr="00A04969">
        <w:rPr>
          <w:rFonts w:ascii="Times New Roman" w:hAnsi="Times New Roman" w:cs="Times New Roman"/>
          <w:sz w:val="20"/>
          <w:szCs w:val="20"/>
        </w:rPr>
        <w:t xml:space="preserve">Johnson, N., et al, </w:t>
      </w:r>
      <w:r w:rsidRPr="00A04969">
        <w:rPr>
          <w:rFonts w:ascii="Times New Roman" w:hAnsi="Times New Roman" w:cs="Times New Roman"/>
          <w:i/>
          <w:sz w:val="20"/>
          <w:szCs w:val="20"/>
        </w:rPr>
        <w:t>supra</w:t>
      </w:r>
      <w:r w:rsidRPr="00A04969">
        <w:rPr>
          <w:rFonts w:ascii="Times New Roman" w:hAnsi="Times New Roman" w:cs="Times New Roman"/>
          <w:sz w:val="20"/>
          <w:szCs w:val="20"/>
        </w:rPr>
        <w:t xml:space="preserve"> n. </w:t>
      </w:r>
      <w:r w:rsidRPr="00A04969">
        <w:rPr>
          <w:rFonts w:ascii="Times New Roman" w:hAnsi="Times New Roman" w:cs="Times New Roman"/>
          <w:sz w:val="20"/>
          <w:szCs w:val="20"/>
        </w:rPr>
        <w:fldChar w:fldCharType="begin"/>
      </w:r>
      <w:r w:rsidRPr="00A04969">
        <w:rPr>
          <w:rFonts w:ascii="Times New Roman" w:hAnsi="Times New Roman" w:cs="Times New Roman"/>
          <w:sz w:val="20"/>
          <w:szCs w:val="20"/>
        </w:rPr>
        <w:instrText xml:space="preserve"> NOTEREF _Ref333309033 </w:instrText>
      </w:r>
      <w:r w:rsidRPr="00A04969">
        <w:rPr>
          <w:rFonts w:ascii="Times New Roman" w:hAnsi="Times New Roman" w:cs="Times New Roman"/>
          <w:sz w:val="20"/>
          <w:szCs w:val="20"/>
        </w:rPr>
        <w:fldChar w:fldCharType="separate"/>
      </w:r>
      <w:r>
        <w:rPr>
          <w:rFonts w:ascii="Times New Roman" w:hAnsi="Times New Roman" w:cs="Times New Roman"/>
          <w:sz w:val="20"/>
          <w:szCs w:val="20"/>
        </w:rPr>
        <w:t>251</w:t>
      </w:r>
      <w:r w:rsidRPr="00A04969">
        <w:rPr>
          <w:rFonts w:ascii="Times New Roman" w:hAnsi="Times New Roman" w:cs="Times New Roman"/>
          <w:sz w:val="20"/>
          <w:szCs w:val="20"/>
        </w:rPr>
        <w:fldChar w:fldCharType="end"/>
      </w:r>
      <w:r w:rsidRPr="00A04969">
        <w:rPr>
          <w:rFonts w:ascii="Times New Roman" w:hAnsi="Times New Roman" w:cs="Times New Roman"/>
          <w:sz w:val="20"/>
          <w:szCs w:val="20"/>
        </w:rPr>
        <w:t>.</w:t>
      </w:r>
      <w:proofErr w:type="gramEnd"/>
    </w:p>
  </w:footnote>
  <w:footnote w:id="257">
    <w:p w14:paraId="533F5ABE" w14:textId="309AAD1A" w:rsidR="00D43BBB" w:rsidRPr="00A04969" w:rsidRDefault="00D43BBB" w:rsidP="002420B7">
      <w:pPr>
        <w:rPr>
          <w:rFonts w:eastAsia="Times New Roman"/>
          <w:color w:val="000000"/>
          <w:sz w:val="20"/>
          <w:szCs w:val="20"/>
          <w:lang w:val="en-US"/>
        </w:rPr>
      </w:pPr>
      <w:r w:rsidRPr="00A04969">
        <w:rPr>
          <w:rStyle w:val="FootnoteReference"/>
          <w:sz w:val="20"/>
          <w:szCs w:val="20"/>
        </w:rPr>
        <w:footnoteRef/>
      </w:r>
      <w:r w:rsidRPr="00A04969">
        <w:rPr>
          <w:sz w:val="20"/>
          <w:szCs w:val="20"/>
        </w:rPr>
        <w:t xml:space="preserve"> </w:t>
      </w:r>
      <w:r w:rsidRPr="00A04969">
        <w:rPr>
          <w:i/>
          <w:sz w:val="20"/>
          <w:szCs w:val="20"/>
        </w:rPr>
        <w:t>See, e.g.,</w:t>
      </w:r>
      <w:r w:rsidRPr="00A04969">
        <w:rPr>
          <w:sz w:val="20"/>
          <w:szCs w:val="20"/>
        </w:rPr>
        <w:t xml:space="preserve"> </w:t>
      </w:r>
      <w:r w:rsidRPr="00A04969">
        <w:rPr>
          <w:rFonts w:eastAsia="Times New Roman"/>
          <w:color w:val="000000"/>
          <w:sz w:val="20"/>
          <w:szCs w:val="20"/>
          <w:lang w:val="en-US"/>
        </w:rPr>
        <w:t>Danielsen, F. et al, Counting What Counts: Using Local Knowledge to Improve Arctic Resource Management, 37 Polar Geography 69-91 (2014); Opening Doors to Native Knowledge, Nordic Council of Ministers Arctic Cooperation Programme (2013).</w:t>
      </w:r>
    </w:p>
  </w:footnote>
  <w:footnote w:id="258">
    <w:p w14:paraId="2F4B80A3" w14:textId="306990F6"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proofErr w:type="gramStart"/>
      <w:r w:rsidRPr="00A04969">
        <w:rPr>
          <w:rFonts w:ascii="Times New Roman" w:hAnsi="Times New Roman" w:cs="Times New Roman"/>
          <w:sz w:val="20"/>
          <w:szCs w:val="20"/>
        </w:rPr>
        <w:t xml:space="preserve">AMSP 2004, </w:t>
      </w:r>
      <w:r w:rsidRPr="00A04969">
        <w:rPr>
          <w:rFonts w:ascii="Times New Roman" w:hAnsi="Times New Roman" w:cs="Times New Roman"/>
          <w:i/>
          <w:sz w:val="20"/>
          <w:szCs w:val="20"/>
        </w:rPr>
        <w:t>supra</w:t>
      </w:r>
      <w:r w:rsidRPr="00A04969">
        <w:rPr>
          <w:rFonts w:ascii="Times New Roman" w:hAnsi="Times New Roman" w:cs="Times New Roman"/>
          <w:sz w:val="20"/>
          <w:szCs w:val="20"/>
        </w:rPr>
        <w:t xml:space="preserve"> n. </w:t>
      </w:r>
      <w:r w:rsidRPr="00A04969">
        <w:rPr>
          <w:rFonts w:ascii="Times New Roman" w:hAnsi="Times New Roman" w:cs="Times New Roman"/>
          <w:sz w:val="20"/>
          <w:szCs w:val="20"/>
        </w:rPr>
        <w:fldChar w:fldCharType="begin"/>
      </w:r>
      <w:r w:rsidRPr="00A04969">
        <w:rPr>
          <w:rFonts w:ascii="Times New Roman" w:hAnsi="Times New Roman" w:cs="Times New Roman"/>
          <w:sz w:val="20"/>
          <w:szCs w:val="20"/>
        </w:rPr>
        <w:instrText xml:space="preserve"> NOTEREF _Ref334001851 \h </w:instrText>
      </w:r>
      <w:r w:rsidRPr="00A04969">
        <w:rPr>
          <w:rFonts w:ascii="Times New Roman" w:hAnsi="Times New Roman" w:cs="Times New Roman"/>
          <w:sz w:val="20"/>
          <w:szCs w:val="20"/>
        </w:rPr>
      </w:r>
      <w:r w:rsidRPr="00A04969">
        <w:rPr>
          <w:rFonts w:ascii="Times New Roman" w:hAnsi="Times New Roman" w:cs="Times New Roman"/>
          <w:sz w:val="20"/>
          <w:szCs w:val="20"/>
        </w:rPr>
        <w:fldChar w:fldCharType="separate"/>
      </w:r>
      <w:r>
        <w:rPr>
          <w:rFonts w:ascii="Times New Roman" w:hAnsi="Times New Roman" w:cs="Times New Roman"/>
          <w:sz w:val="20"/>
          <w:szCs w:val="20"/>
        </w:rPr>
        <w:t>189</w:t>
      </w:r>
      <w:r w:rsidRPr="00A04969">
        <w:rPr>
          <w:rFonts w:ascii="Times New Roman" w:hAnsi="Times New Roman" w:cs="Times New Roman"/>
          <w:sz w:val="20"/>
          <w:szCs w:val="20"/>
        </w:rPr>
        <w:fldChar w:fldCharType="end"/>
      </w:r>
      <w:r w:rsidRPr="00A04969">
        <w:rPr>
          <w:rFonts w:ascii="Times New Roman" w:hAnsi="Times New Roman" w:cs="Times New Roman"/>
          <w:sz w:val="20"/>
          <w:szCs w:val="20"/>
        </w:rPr>
        <w:t xml:space="preserve">, Strategic Action 7.6.2; AMSP 2015, </w:t>
      </w:r>
      <w:r w:rsidRPr="00A04969">
        <w:rPr>
          <w:rFonts w:ascii="Times New Roman" w:hAnsi="Times New Roman" w:cs="Times New Roman"/>
          <w:i/>
          <w:sz w:val="20"/>
          <w:szCs w:val="20"/>
        </w:rPr>
        <w:t>supra</w:t>
      </w:r>
      <w:r w:rsidRPr="00A04969">
        <w:rPr>
          <w:rFonts w:ascii="Times New Roman" w:hAnsi="Times New Roman" w:cs="Times New Roman"/>
          <w:sz w:val="20"/>
          <w:szCs w:val="20"/>
        </w:rPr>
        <w:t xml:space="preserve"> n. </w:t>
      </w:r>
      <w:r w:rsidRPr="00A04969">
        <w:rPr>
          <w:rFonts w:ascii="Times New Roman" w:hAnsi="Times New Roman" w:cs="Times New Roman"/>
          <w:sz w:val="20"/>
          <w:szCs w:val="20"/>
        </w:rPr>
        <w:fldChar w:fldCharType="begin"/>
      </w:r>
      <w:r w:rsidRPr="00A04969">
        <w:rPr>
          <w:rFonts w:ascii="Times New Roman" w:hAnsi="Times New Roman" w:cs="Times New Roman"/>
          <w:sz w:val="20"/>
          <w:szCs w:val="20"/>
        </w:rPr>
        <w:instrText xml:space="preserve"> NOTEREF _Ref334006431 \h </w:instrText>
      </w:r>
      <w:r w:rsidRPr="00A04969">
        <w:rPr>
          <w:rFonts w:ascii="Times New Roman" w:hAnsi="Times New Roman" w:cs="Times New Roman"/>
          <w:sz w:val="20"/>
          <w:szCs w:val="20"/>
        </w:rPr>
      </w:r>
      <w:r w:rsidRPr="00A04969">
        <w:rPr>
          <w:rFonts w:ascii="Times New Roman" w:hAnsi="Times New Roman" w:cs="Times New Roman"/>
          <w:sz w:val="20"/>
          <w:szCs w:val="20"/>
        </w:rPr>
        <w:fldChar w:fldCharType="separate"/>
      </w:r>
      <w:r>
        <w:rPr>
          <w:rFonts w:ascii="Times New Roman" w:hAnsi="Times New Roman" w:cs="Times New Roman"/>
          <w:sz w:val="20"/>
          <w:szCs w:val="20"/>
        </w:rPr>
        <w:t>190</w:t>
      </w:r>
      <w:r w:rsidRPr="00A04969">
        <w:rPr>
          <w:rFonts w:ascii="Times New Roman" w:hAnsi="Times New Roman" w:cs="Times New Roman"/>
          <w:sz w:val="20"/>
          <w:szCs w:val="20"/>
        </w:rPr>
        <w:fldChar w:fldCharType="end"/>
      </w:r>
      <w:r w:rsidRPr="00A04969">
        <w:rPr>
          <w:rFonts w:ascii="Times New Roman" w:hAnsi="Times New Roman" w:cs="Times New Roman"/>
          <w:sz w:val="20"/>
          <w:szCs w:val="20"/>
        </w:rPr>
        <w:t>, Strategic Action 7.1.5.</w:t>
      </w:r>
      <w:proofErr w:type="gramEnd"/>
    </w:p>
  </w:footnote>
  <w:footnote w:id="259">
    <w:p w14:paraId="40891D11" w14:textId="69B4C0A5"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proofErr w:type="spellStart"/>
      <w:proofErr w:type="gramStart"/>
      <w:r w:rsidRPr="00A04969">
        <w:rPr>
          <w:rFonts w:ascii="Times New Roman" w:hAnsi="Times New Roman" w:cs="Times New Roman"/>
          <w:sz w:val="20"/>
          <w:szCs w:val="20"/>
        </w:rPr>
        <w:t>Eythorsson</w:t>
      </w:r>
      <w:proofErr w:type="spellEnd"/>
      <w:r w:rsidRPr="00A04969">
        <w:rPr>
          <w:rFonts w:ascii="Times New Roman" w:hAnsi="Times New Roman" w:cs="Times New Roman"/>
          <w:sz w:val="20"/>
          <w:szCs w:val="20"/>
        </w:rPr>
        <w:t xml:space="preserve"> and </w:t>
      </w:r>
      <w:proofErr w:type="spellStart"/>
      <w:r w:rsidRPr="00A04969">
        <w:rPr>
          <w:rFonts w:ascii="Times New Roman" w:hAnsi="Times New Roman" w:cs="Times New Roman"/>
          <w:sz w:val="20"/>
          <w:szCs w:val="20"/>
        </w:rPr>
        <w:t>Brattland</w:t>
      </w:r>
      <w:proofErr w:type="spellEnd"/>
      <w:r w:rsidRPr="00A04969">
        <w:rPr>
          <w:rFonts w:ascii="Times New Roman" w:hAnsi="Times New Roman" w:cs="Times New Roman"/>
          <w:sz w:val="20"/>
          <w:szCs w:val="20"/>
        </w:rPr>
        <w:t xml:space="preserve">, </w:t>
      </w:r>
      <w:r w:rsidRPr="00A04969">
        <w:rPr>
          <w:rFonts w:ascii="Times New Roman" w:hAnsi="Times New Roman" w:cs="Times New Roman"/>
          <w:i/>
          <w:sz w:val="20"/>
          <w:szCs w:val="20"/>
        </w:rPr>
        <w:t>supra</w:t>
      </w:r>
      <w:r w:rsidRPr="00A04969">
        <w:rPr>
          <w:rFonts w:ascii="Times New Roman" w:hAnsi="Times New Roman" w:cs="Times New Roman"/>
          <w:sz w:val="20"/>
          <w:szCs w:val="20"/>
        </w:rPr>
        <w:t xml:space="preserve"> n. </w:t>
      </w:r>
      <w:r w:rsidRPr="00A04969">
        <w:rPr>
          <w:rFonts w:ascii="Times New Roman" w:hAnsi="Times New Roman" w:cs="Times New Roman"/>
          <w:sz w:val="20"/>
          <w:szCs w:val="20"/>
        </w:rPr>
        <w:fldChar w:fldCharType="begin"/>
      </w:r>
      <w:r w:rsidRPr="00A04969">
        <w:rPr>
          <w:rFonts w:ascii="Times New Roman" w:hAnsi="Times New Roman" w:cs="Times New Roman"/>
          <w:sz w:val="20"/>
          <w:szCs w:val="20"/>
        </w:rPr>
        <w:instrText xml:space="preserve"> NOTEREF _Ref333220277 \h </w:instrText>
      </w:r>
      <w:r w:rsidRPr="00A04969">
        <w:rPr>
          <w:rFonts w:ascii="Times New Roman" w:hAnsi="Times New Roman" w:cs="Times New Roman"/>
          <w:sz w:val="20"/>
          <w:szCs w:val="20"/>
        </w:rPr>
      </w:r>
      <w:r w:rsidRPr="00A04969">
        <w:rPr>
          <w:rFonts w:ascii="Times New Roman" w:hAnsi="Times New Roman" w:cs="Times New Roman"/>
          <w:sz w:val="20"/>
          <w:szCs w:val="20"/>
        </w:rPr>
        <w:fldChar w:fldCharType="separate"/>
      </w:r>
      <w:r>
        <w:rPr>
          <w:rFonts w:ascii="Times New Roman" w:hAnsi="Times New Roman" w:cs="Times New Roman"/>
          <w:sz w:val="20"/>
          <w:szCs w:val="20"/>
        </w:rPr>
        <w:t>235</w:t>
      </w:r>
      <w:r w:rsidRPr="00A04969">
        <w:rPr>
          <w:rFonts w:ascii="Times New Roman" w:hAnsi="Times New Roman" w:cs="Times New Roman"/>
          <w:sz w:val="20"/>
          <w:szCs w:val="20"/>
        </w:rPr>
        <w:fldChar w:fldCharType="end"/>
      </w:r>
      <w:r w:rsidRPr="00A04969">
        <w:rPr>
          <w:rFonts w:ascii="Times New Roman" w:hAnsi="Times New Roman" w:cs="Times New Roman"/>
          <w:sz w:val="20"/>
          <w:szCs w:val="20"/>
        </w:rPr>
        <w:t>at 148.</w:t>
      </w:r>
      <w:proofErr w:type="gramEnd"/>
    </w:p>
  </w:footnote>
  <w:footnote w:id="260">
    <w:p w14:paraId="1D829791" w14:textId="0C25A707"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proofErr w:type="gramStart"/>
      <w:r w:rsidRPr="00A04969">
        <w:rPr>
          <w:rFonts w:ascii="Times New Roman" w:hAnsi="Times New Roman" w:cs="Times New Roman"/>
          <w:sz w:val="20"/>
          <w:szCs w:val="20"/>
        </w:rPr>
        <w:t xml:space="preserve">AOR, </w:t>
      </w:r>
      <w:r w:rsidRPr="00A04969">
        <w:rPr>
          <w:rFonts w:ascii="Times New Roman" w:hAnsi="Times New Roman" w:cs="Times New Roman"/>
          <w:i/>
          <w:sz w:val="20"/>
          <w:szCs w:val="20"/>
        </w:rPr>
        <w:t>supra</w:t>
      </w:r>
      <w:r w:rsidRPr="00A04969">
        <w:rPr>
          <w:rFonts w:ascii="Times New Roman" w:hAnsi="Times New Roman" w:cs="Times New Roman"/>
          <w:sz w:val="20"/>
          <w:szCs w:val="20"/>
        </w:rPr>
        <w:t xml:space="preserve"> n. </w:t>
      </w:r>
      <w:r w:rsidRPr="00A04969">
        <w:rPr>
          <w:rFonts w:ascii="Times New Roman" w:hAnsi="Times New Roman" w:cs="Times New Roman"/>
          <w:sz w:val="20"/>
          <w:szCs w:val="20"/>
        </w:rPr>
        <w:fldChar w:fldCharType="begin"/>
      </w:r>
      <w:r w:rsidRPr="00A04969">
        <w:rPr>
          <w:rFonts w:ascii="Times New Roman" w:hAnsi="Times New Roman" w:cs="Times New Roman"/>
          <w:sz w:val="20"/>
          <w:szCs w:val="20"/>
        </w:rPr>
        <w:instrText xml:space="preserve"> NOTEREF _Ref334006431 \h </w:instrText>
      </w:r>
      <w:r w:rsidRPr="00A04969">
        <w:rPr>
          <w:rFonts w:ascii="Times New Roman" w:hAnsi="Times New Roman" w:cs="Times New Roman"/>
          <w:sz w:val="20"/>
          <w:szCs w:val="20"/>
        </w:rPr>
      </w:r>
      <w:r w:rsidRPr="00A04969">
        <w:rPr>
          <w:rFonts w:ascii="Times New Roman" w:hAnsi="Times New Roman" w:cs="Times New Roman"/>
          <w:sz w:val="20"/>
          <w:szCs w:val="20"/>
        </w:rPr>
        <w:fldChar w:fldCharType="separate"/>
      </w:r>
      <w:r>
        <w:rPr>
          <w:rFonts w:ascii="Times New Roman" w:hAnsi="Times New Roman" w:cs="Times New Roman"/>
          <w:sz w:val="20"/>
          <w:szCs w:val="20"/>
        </w:rPr>
        <w:t>190</w:t>
      </w:r>
      <w:r w:rsidRPr="00A04969">
        <w:rPr>
          <w:rFonts w:ascii="Times New Roman" w:hAnsi="Times New Roman" w:cs="Times New Roman"/>
          <w:sz w:val="20"/>
          <w:szCs w:val="20"/>
        </w:rPr>
        <w:fldChar w:fldCharType="end"/>
      </w:r>
      <w:r w:rsidRPr="00A04969">
        <w:rPr>
          <w:rFonts w:ascii="Times New Roman" w:hAnsi="Times New Roman" w:cs="Times New Roman"/>
          <w:sz w:val="20"/>
          <w:szCs w:val="20"/>
        </w:rPr>
        <w:t xml:space="preserve"> at 3.</w:t>
      </w:r>
      <w:proofErr w:type="gramEnd"/>
    </w:p>
  </w:footnote>
  <w:footnote w:id="261">
    <w:p w14:paraId="4B95EABD" w14:textId="1D5DB346" w:rsidR="00D43BBB" w:rsidRPr="00A04969" w:rsidRDefault="00D43BBB" w:rsidP="002420B7">
      <w:pPr>
        <w:widowControl w:val="0"/>
        <w:numPr>
          <w:ilvl w:val="0"/>
          <w:numId w:val="1"/>
        </w:numPr>
        <w:tabs>
          <w:tab w:val="left" w:pos="220"/>
          <w:tab w:val="left" w:pos="720"/>
        </w:tabs>
        <w:autoSpaceDE w:val="0"/>
        <w:autoSpaceDN w:val="0"/>
        <w:adjustRightInd w:val="0"/>
        <w:ind w:left="0" w:firstLine="0"/>
        <w:rPr>
          <w:sz w:val="20"/>
          <w:szCs w:val="20"/>
        </w:rPr>
      </w:pPr>
      <w:r w:rsidRPr="00A04969">
        <w:rPr>
          <w:rStyle w:val="FootnoteReference"/>
          <w:sz w:val="20"/>
          <w:szCs w:val="20"/>
        </w:rPr>
        <w:footnoteRef/>
      </w:r>
      <w:r w:rsidRPr="00A04969">
        <w:rPr>
          <w:sz w:val="20"/>
          <w:szCs w:val="20"/>
        </w:rPr>
        <w:t xml:space="preserve"> ELI Government to Government Consultation, </w:t>
      </w:r>
      <w:r w:rsidRPr="00A04969">
        <w:rPr>
          <w:i/>
          <w:sz w:val="20"/>
          <w:szCs w:val="20"/>
        </w:rPr>
        <w:t>supra</w:t>
      </w:r>
      <w:r w:rsidRPr="00A04969">
        <w:rPr>
          <w:sz w:val="20"/>
          <w:szCs w:val="20"/>
        </w:rPr>
        <w:t xml:space="preserve"> n. </w:t>
      </w:r>
      <w:r w:rsidRPr="00A04969">
        <w:rPr>
          <w:sz w:val="20"/>
          <w:szCs w:val="20"/>
        </w:rPr>
        <w:fldChar w:fldCharType="begin"/>
      </w:r>
      <w:r w:rsidRPr="00A04969">
        <w:rPr>
          <w:sz w:val="20"/>
          <w:szCs w:val="20"/>
        </w:rPr>
        <w:instrText xml:space="preserve"> NOTEREF _Ref334001164 \h </w:instrText>
      </w:r>
      <w:r w:rsidRPr="00A04969">
        <w:rPr>
          <w:sz w:val="20"/>
          <w:szCs w:val="20"/>
        </w:rPr>
      </w:r>
      <w:r w:rsidRPr="00A04969">
        <w:rPr>
          <w:sz w:val="20"/>
          <w:szCs w:val="20"/>
        </w:rPr>
        <w:fldChar w:fldCharType="separate"/>
      </w:r>
      <w:r>
        <w:rPr>
          <w:sz w:val="20"/>
          <w:szCs w:val="20"/>
        </w:rPr>
        <w:t>155</w:t>
      </w:r>
      <w:r w:rsidRPr="00A04969">
        <w:rPr>
          <w:sz w:val="20"/>
          <w:szCs w:val="20"/>
        </w:rPr>
        <w:fldChar w:fldCharType="end"/>
      </w:r>
      <w:r w:rsidRPr="00A04969">
        <w:rPr>
          <w:sz w:val="20"/>
          <w:szCs w:val="20"/>
        </w:rPr>
        <w:t xml:space="preserve"> at 16.</w:t>
      </w:r>
    </w:p>
  </w:footnote>
  <w:footnote w:id="262">
    <w:p w14:paraId="3236349F" w14:textId="1EA9F354" w:rsidR="00D43BBB" w:rsidRPr="00A04969" w:rsidRDefault="00D43BBB" w:rsidP="002420B7">
      <w:pPr>
        <w:widowControl w:val="0"/>
        <w:autoSpaceDE w:val="0"/>
        <w:autoSpaceDN w:val="0"/>
        <w:adjustRightInd w:val="0"/>
        <w:rPr>
          <w:sz w:val="20"/>
          <w:szCs w:val="20"/>
          <w:lang w:val="en-US"/>
        </w:rPr>
      </w:pPr>
      <w:r w:rsidRPr="00A04969">
        <w:rPr>
          <w:rStyle w:val="FootnoteReference"/>
          <w:sz w:val="20"/>
          <w:szCs w:val="20"/>
        </w:rPr>
        <w:footnoteRef/>
      </w:r>
      <w:r w:rsidRPr="00A04969">
        <w:rPr>
          <w:sz w:val="20"/>
          <w:szCs w:val="20"/>
        </w:rPr>
        <w:t xml:space="preserve"> R</w:t>
      </w:r>
      <w:r w:rsidRPr="00A04969">
        <w:rPr>
          <w:iCs/>
          <w:sz w:val="20"/>
          <w:szCs w:val="20"/>
          <w:lang w:val="en-US"/>
        </w:rPr>
        <w:t>aymond-Yakoubian, J.,</w:t>
      </w:r>
      <w:r w:rsidRPr="00A04969">
        <w:rPr>
          <w:i/>
          <w:iCs/>
          <w:sz w:val="20"/>
          <w:szCs w:val="20"/>
          <w:lang w:val="en-US"/>
        </w:rPr>
        <w:t xml:space="preserve"> Tribal Involvement in Fisheries Management,</w:t>
      </w:r>
      <w:r w:rsidRPr="00A04969">
        <w:rPr>
          <w:iCs/>
          <w:sz w:val="20"/>
          <w:szCs w:val="20"/>
          <w:lang w:val="en-US"/>
        </w:rPr>
        <w:t xml:space="preserve"> </w:t>
      </w:r>
      <w:r w:rsidRPr="00A04969">
        <w:rPr>
          <w:bCs/>
          <w:sz w:val="20"/>
          <w:szCs w:val="20"/>
          <w:lang w:val="en-US"/>
        </w:rPr>
        <w:t xml:space="preserve">in </w:t>
      </w:r>
      <w:r w:rsidRPr="00A04969">
        <w:rPr>
          <w:sz w:val="20"/>
          <w:szCs w:val="20"/>
          <w:lang w:val="en-US"/>
        </w:rPr>
        <w:t>Fishing People of the North: Cultures, Economies, and Management Responding to Change 120 (</w:t>
      </w:r>
      <w:r w:rsidRPr="00A04969">
        <w:rPr>
          <w:bCs/>
          <w:sz w:val="20"/>
          <w:szCs w:val="20"/>
          <w:lang w:val="en-US"/>
        </w:rPr>
        <w:t>Carothers, C. et al, eds</w:t>
      </w:r>
      <w:r w:rsidRPr="00A04969">
        <w:rPr>
          <w:sz w:val="20"/>
          <w:szCs w:val="20"/>
          <w:lang w:val="en-US"/>
        </w:rPr>
        <w:t>., 2012).</w:t>
      </w:r>
    </w:p>
  </w:footnote>
  <w:footnote w:id="263">
    <w:p w14:paraId="4D4E164A" w14:textId="7F4B98B2"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Ottawa Principles, </w:t>
      </w:r>
      <w:r w:rsidRPr="00A04969">
        <w:rPr>
          <w:rFonts w:ascii="Times New Roman" w:hAnsi="Times New Roman" w:cs="Times New Roman"/>
          <w:i/>
          <w:sz w:val="20"/>
          <w:szCs w:val="20"/>
        </w:rPr>
        <w:t>supra</w:t>
      </w:r>
      <w:r w:rsidRPr="00A04969">
        <w:rPr>
          <w:rFonts w:ascii="Times New Roman" w:hAnsi="Times New Roman" w:cs="Times New Roman"/>
          <w:sz w:val="20"/>
          <w:szCs w:val="20"/>
        </w:rPr>
        <w:t xml:space="preserve"> n. </w:t>
      </w:r>
      <w:r w:rsidRPr="00A04969">
        <w:rPr>
          <w:rFonts w:ascii="Times New Roman" w:hAnsi="Times New Roman" w:cs="Times New Roman"/>
          <w:sz w:val="20"/>
          <w:szCs w:val="20"/>
        </w:rPr>
        <w:fldChar w:fldCharType="begin"/>
      </w:r>
      <w:r w:rsidRPr="00A04969">
        <w:rPr>
          <w:rFonts w:ascii="Times New Roman" w:hAnsi="Times New Roman" w:cs="Times New Roman"/>
          <w:sz w:val="20"/>
          <w:szCs w:val="20"/>
        </w:rPr>
        <w:instrText xml:space="preserve"> NOTEREF _Ref334001803 \h </w:instrText>
      </w:r>
      <w:r w:rsidRPr="00A04969">
        <w:rPr>
          <w:rFonts w:ascii="Times New Roman" w:hAnsi="Times New Roman" w:cs="Times New Roman"/>
          <w:sz w:val="20"/>
          <w:szCs w:val="20"/>
        </w:rPr>
      </w:r>
      <w:r w:rsidRPr="00A04969">
        <w:rPr>
          <w:rFonts w:ascii="Times New Roman" w:hAnsi="Times New Roman" w:cs="Times New Roman"/>
          <w:sz w:val="20"/>
          <w:szCs w:val="20"/>
        </w:rPr>
        <w:fldChar w:fldCharType="separate"/>
      </w:r>
      <w:r>
        <w:rPr>
          <w:rFonts w:ascii="Times New Roman" w:hAnsi="Times New Roman" w:cs="Times New Roman"/>
          <w:sz w:val="20"/>
          <w:szCs w:val="20"/>
        </w:rPr>
        <w:t>144</w:t>
      </w:r>
      <w:r w:rsidRPr="00A04969">
        <w:rPr>
          <w:rFonts w:ascii="Times New Roman" w:hAnsi="Times New Roman" w:cs="Times New Roman"/>
          <w:sz w:val="20"/>
          <w:szCs w:val="20"/>
        </w:rPr>
        <w:fldChar w:fldCharType="end"/>
      </w:r>
      <w:r w:rsidRPr="00A04969">
        <w:rPr>
          <w:rFonts w:ascii="Times New Roman" w:hAnsi="Times New Roman" w:cs="Times New Roman"/>
          <w:sz w:val="20"/>
          <w:szCs w:val="20"/>
        </w:rPr>
        <w:t xml:space="preserve">; AMSP 2004, </w:t>
      </w:r>
      <w:r w:rsidRPr="00A04969">
        <w:rPr>
          <w:rFonts w:ascii="Times New Roman" w:hAnsi="Times New Roman" w:cs="Times New Roman"/>
          <w:i/>
          <w:sz w:val="20"/>
          <w:szCs w:val="20"/>
        </w:rPr>
        <w:t>supra</w:t>
      </w:r>
      <w:r w:rsidRPr="00A04969">
        <w:rPr>
          <w:rFonts w:ascii="Times New Roman" w:hAnsi="Times New Roman" w:cs="Times New Roman"/>
          <w:sz w:val="20"/>
          <w:szCs w:val="20"/>
        </w:rPr>
        <w:t xml:space="preserve"> n. </w:t>
      </w:r>
      <w:r w:rsidRPr="00A04969">
        <w:rPr>
          <w:rFonts w:ascii="Times New Roman" w:hAnsi="Times New Roman" w:cs="Times New Roman"/>
          <w:sz w:val="20"/>
          <w:szCs w:val="20"/>
        </w:rPr>
        <w:fldChar w:fldCharType="begin"/>
      </w:r>
      <w:r w:rsidRPr="00A04969">
        <w:rPr>
          <w:rFonts w:ascii="Times New Roman" w:hAnsi="Times New Roman" w:cs="Times New Roman"/>
          <w:sz w:val="20"/>
          <w:szCs w:val="20"/>
        </w:rPr>
        <w:instrText xml:space="preserve"> NOTEREF _Ref334001851 \h </w:instrText>
      </w:r>
      <w:r w:rsidRPr="00A04969">
        <w:rPr>
          <w:rFonts w:ascii="Times New Roman" w:hAnsi="Times New Roman" w:cs="Times New Roman"/>
          <w:sz w:val="20"/>
          <w:szCs w:val="20"/>
        </w:rPr>
      </w:r>
      <w:r w:rsidRPr="00A04969">
        <w:rPr>
          <w:rFonts w:ascii="Times New Roman" w:hAnsi="Times New Roman" w:cs="Times New Roman"/>
          <w:sz w:val="20"/>
          <w:szCs w:val="20"/>
        </w:rPr>
        <w:fldChar w:fldCharType="separate"/>
      </w:r>
      <w:r>
        <w:rPr>
          <w:rFonts w:ascii="Times New Roman" w:hAnsi="Times New Roman" w:cs="Times New Roman"/>
          <w:sz w:val="20"/>
          <w:szCs w:val="20"/>
        </w:rPr>
        <w:t>189</w:t>
      </w:r>
      <w:r w:rsidRPr="00A04969">
        <w:rPr>
          <w:rFonts w:ascii="Times New Roman" w:hAnsi="Times New Roman" w:cs="Times New Roman"/>
          <w:sz w:val="20"/>
          <w:szCs w:val="20"/>
        </w:rPr>
        <w:fldChar w:fldCharType="end"/>
      </w:r>
      <w:r w:rsidRPr="00A04969">
        <w:rPr>
          <w:rFonts w:ascii="Times New Roman" w:hAnsi="Times New Roman" w:cs="Times New Roman"/>
          <w:sz w:val="20"/>
          <w:szCs w:val="20"/>
        </w:rPr>
        <w:t xml:space="preserve">, Strategic Action 7.5.1; AMSP 2015, </w:t>
      </w:r>
      <w:r w:rsidRPr="00A04969">
        <w:rPr>
          <w:rFonts w:ascii="Times New Roman" w:hAnsi="Times New Roman" w:cs="Times New Roman"/>
          <w:i/>
          <w:sz w:val="20"/>
          <w:szCs w:val="20"/>
        </w:rPr>
        <w:t>supra</w:t>
      </w:r>
      <w:r w:rsidRPr="00A04969">
        <w:rPr>
          <w:rFonts w:ascii="Times New Roman" w:hAnsi="Times New Roman" w:cs="Times New Roman"/>
          <w:sz w:val="20"/>
          <w:szCs w:val="20"/>
        </w:rPr>
        <w:t xml:space="preserve"> n. </w:t>
      </w:r>
      <w:r w:rsidRPr="00A04969">
        <w:rPr>
          <w:rFonts w:ascii="Times New Roman" w:hAnsi="Times New Roman" w:cs="Times New Roman"/>
          <w:sz w:val="20"/>
          <w:szCs w:val="20"/>
          <w:highlight w:val="cyan"/>
        </w:rPr>
        <w:fldChar w:fldCharType="begin"/>
      </w:r>
      <w:r w:rsidRPr="00A04969">
        <w:rPr>
          <w:rFonts w:ascii="Times New Roman" w:hAnsi="Times New Roman" w:cs="Times New Roman"/>
          <w:sz w:val="20"/>
          <w:szCs w:val="20"/>
        </w:rPr>
        <w:instrText xml:space="preserve"> NOTEREF _Ref334006431 \h </w:instrText>
      </w:r>
      <w:r w:rsidRPr="00A04969">
        <w:rPr>
          <w:rFonts w:ascii="Times New Roman" w:hAnsi="Times New Roman" w:cs="Times New Roman"/>
          <w:sz w:val="20"/>
          <w:szCs w:val="20"/>
          <w:highlight w:val="cyan"/>
        </w:rPr>
      </w:r>
      <w:r w:rsidRPr="00A04969">
        <w:rPr>
          <w:rFonts w:ascii="Times New Roman" w:hAnsi="Times New Roman" w:cs="Times New Roman"/>
          <w:sz w:val="20"/>
          <w:szCs w:val="20"/>
          <w:highlight w:val="cyan"/>
        </w:rPr>
        <w:fldChar w:fldCharType="separate"/>
      </w:r>
      <w:r>
        <w:rPr>
          <w:rFonts w:ascii="Times New Roman" w:hAnsi="Times New Roman" w:cs="Times New Roman"/>
          <w:sz w:val="20"/>
          <w:szCs w:val="20"/>
        </w:rPr>
        <w:t>190</w:t>
      </w:r>
      <w:r w:rsidRPr="00A04969">
        <w:rPr>
          <w:rFonts w:ascii="Times New Roman" w:hAnsi="Times New Roman" w:cs="Times New Roman"/>
          <w:sz w:val="20"/>
          <w:szCs w:val="20"/>
          <w:highlight w:val="cyan"/>
        </w:rPr>
        <w:fldChar w:fldCharType="end"/>
      </w:r>
      <w:r w:rsidRPr="00A04969">
        <w:rPr>
          <w:rFonts w:ascii="Times New Roman" w:hAnsi="Times New Roman" w:cs="Times New Roman"/>
          <w:sz w:val="20"/>
          <w:szCs w:val="20"/>
        </w:rPr>
        <w:t>, Strategic Action 7.3.12;</w:t>
      </w:r>
    </w:p>
  </w:footnote>
  <w:footnote w:id="264">
    <w:p w14:paraId="496ACE31" w14:textId="5B945CCF"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proofErr w:type="gramStart"/>
      <w:r w:rsidRPr="00A04969">
        <w:rPr>
          <w:rFonts w:ascii="Times New Roman" w:hAnsi="Times New Roman" w:cs="Times New Roman"/>
          <w:sz w:val="20"/>
          <w:szCs w:val="20"/>
        </w:rPr>
        <w:t xml:space="preserve">AACA (a), </w:t>
      </w:r>
      <w:r w:rsidRPr="00A04969">
        <w:rPr>
          <w:rFonts w:ascii="Times New Roman" w:hAnsi="Times New Roman" w:cs="Times New Roman"/>
          <w:i/>
          <w:sz w:val="20"/>
          <w:szCs w:val="20"/>
        </w:rPr>
        <w:t>supra</w:t>
      </w:r>
      <w:r w:rsidRPr="00A04969">
        <w:rPr>
          <w:rFonts w:ascii="Times New Roman" w:hAnsi="Times New Roman" w:cs="Times New Roman"/>
          <w:sz w:val="20"/>
          <w:szCs w:val="20"/>
        </w:rPr>
        <w:t xml:space="preserve"> n. </w:t>
      </w:r>
      <w:r w:rsidRPr="00A04969">
        <w:rPr>
          <w:rFonts w:ascii="Times New Roman" w:hAnsi="Times New Roman" w:cs="Times New Roman"/>
          <w:sz w:val="20"/>
          <w:szCs w:val="20"/>
        </w:rPr>
        <w:fldChar w:fldCharType="begin"/>
      </w:r>
      <w:r w:rsidRPr="00A04969">
        <w:rPr>
          <w:rFonts w:ascii="Times New Roman" w:hAnsi="Times New Roman" w:cs="Times New Roman"/>
          <w:sz w:val="20"/>
          <w:szCs w:val="20"/>
        </w:rPr>
        <w:instrText xml:space="preserve"> NOTEREF _Ref333606215 \h </w:instrText>
      </w:r>
      <w:r w:rsidRPr="00A04969">
        <w:rPr>
          <w:rFonts w:ascii="Times New Roman" w:hAnsi="Times New Roman" w:cs="Times New Roman"/>
          <w:sz w:val="20"/>
          <w:szCs w:val="20"/>
        </w:rPr>
      </w:r>
      <w:r w:rsidRPr="00A04969">
        <w:rPr>
          <w:rFonts w:ascii="Times New Roman" w:hAnsi="Times New Roman" w:cs="Times New Roman"/>
          <w:sz w:val="20"/>
          <w:szCs w:val="20"/>
        </w:rPr>
        <w:fldChar w:fldCharType="separate"/>
      </w:r>
      <w:r>
        <w:rPr>
          <w:rFonts w:ascii="Times New Roman" w:hAnsi="Times New Roman" w:cs="Times New Roman"/>
          <w:sz w:val="20"/>
          <w:szCs w:val="20"/>
        </w:rPr>
        <w:t>161</w:t>
      </w:r>
      <w:r w:rsidRPr="00A04969">
        <w:rPr>
          <w:rFonts w:ascii="Times New Roman" w:hAnsi="Times New Roman" w:cs="Times New Roman"/>
          <w:sz w:val="20"/>
          <w:szCs w:val="20"/>
        </w:rPr>
        <w:fldChar w:fldCharType="end"/>
      </w:r>
      <w:r w:rsidRPr="00A04969">
        <w:rPr>
          <w:rFonts w:ascii="Times New Roman" w:hAnsi="Times New Roman" w:cs="Times New Roman"/>
          <w:sz w:val="20"/>
          <w:szCs w:val="20"/>
        </w:rPr>
        <w:t xml:space="preserve"> at 7.</w:t>
      </w:r>
      <w:proofErr w:type="gramEnd"/>
      <w:r w:rsidRPr="00A04969">
        <w:rPr>
          <w:rFonts w:ascii="Times New Roman" w:hAnsi="Times New Roman" w:cs="Times New Roman"/>
          <w:sz w:val="20"/>
          <w:szCs w:val="20"/>
        </w:rPr>
        <w:t xml:space="preserve"> </w:t>
      </w:r>
    </w:p>
  </w:footnote>
  <w:footnote w:id="265">
    <w:p w14:paraId="292C1344" w14:textId="69A52C0D" w:rsidR="00D43BBB" w:rsidRPr="00A04969" w:rsidRDefault="00D43BBB" w:rsidP="002420B7">
      <w:pPr>
        <w:widowControl w:val="0"/>
        <w:autoSpaceDE w:val="0"/>
        <w:autoSpaceDN w:val="0"/>
        <w:adjustRightInd w:val="0"/>
        <w:rPr>
          <w:sz w:val="20"/>
          <w:szCs w:val="20"/>
        </w:rPr>
      </w:pPr>
      <w:r w:rsidRPr="00A04969">
        <w:rPr>
          <w:rStyle w:val="FootnoteReference"/>
          <w:sz w:val="20"/>
          <w:szCs w:val="20"/>
        </w:rPr>
        <w:footnoteRef/>
      </w:r>
      <w:r w:rsidRPr="00A04969">
        <w:rPr>
          <w:sz w:val="20"/>
          <w:szCs w:val="20"/>
        </w:rPr>
        <w:t xml:space="preserve"> Best Practices in Historic Preservation, </w:t>
      </w:r>
      <w:r w:rsidRPr="00A04969">
        <w:rPr>
          <w:i/>
          <w:sz w:val="20"/>
          <w:szCs w:val="20"/>
        </w:rPr>
        <w:t>supra</w:t>
      </w:r>
      <w:r w:rsidRPr="00A04969">
        <w:rPr>
          <w:sz w:val="20"/>
          <w:szCs w:val="20"/>
        </w:rPr>
        <w:t xml:space="preserve"> n. </w:t>
      </w:r>
      <w:r w:rsidRPr="00A04969">
        <w:rPr>
          <w:sz w:val="20"/>
          <w:szCs w:val="20"/>
        </w:rPr>
        <w:fldChar w:fldCharType="begin"/>
      </w:r>
      <w:r w:rsidRPr="00A04969">
        <w:rPr>
          <w:sz w:val="20"/>
          <w:szCs w:val="20"/>
        </w:rPr>
        <w:instrText xml:space="preserve"> NOTEREF _Ref334082751 \h </w:instrText>
      </w:r>
      <w:r w:rsidRPr="00A04969">
        <w:rPr>
          <w:sz w:val="20"/>
          <w:szCs w:val="20"/>
        </w:rPr>
      </w:r>
      <w:r w:rsidRPr="00A04969">
        <w:rPr>
          <w:sz w:val="20"/>
          <w:szCs w:val="20"/>
        </w:rPr>
        <w:fldChar w:fldCharType="separate"/>
      </w:r>
      <w:r>
        <w:rPr>
          <w:sz w:val="20"/>
          <w:szCs w:val="20"/>
        </w:rPr>
        <w:t>65</w:t>
      </w:r>
      <w:r w:rsidRPr="00A04969">
        <w:rPr>
          <w:sz w:val="20"/>
          <w:szCs w:val="20"/>
        </w:rPr>
        <w:fldChar w:fldCharType="end"/>
      </w:r>
      <w:r w:rsidRPr="00A04969">
        <w:rPr>
          <w:sz w:val="20"/>
          <w:szCs w:val="20"/>
        </w:rPr>
        <w:t xml:space="preserve">; Guiding Principles, supra n. </w:t>
      </w:r>
      <w:r w:rsidRPr="00A04969">
        <w:rPr>
          <w:sz w:val="20"/>
          <w:szCs w:val="20"/>
        </w:rPr>
        <w:fldChar w:fldCharType="begin"/>
      </w:r>
      <w:r w:rsidRPr="00A04969">
        <w:rPr>
          <w:sz w:val="20"/>
          <w:szCs w:val="20"/>
        </w:rPr>
        <w:instrText xml:space="preserve"> NOTEREF _Ref333307740 \h </w:instrText>
      </w:r>
      <w:r w:rsidRPr="00A04969">
        <w:rPr>
          <w:sz w:val="20"/>
          <w:szCs w:val="20"/>
        </w:rPr>
      </w:r>
      <w:r w:rsidRPr="00A04969">
        <w:rPr>
          <w:sz w:val="20"/>
          <w:szCs w:val="20"/>
        </w:rPr>
        <w:fldChar w:fldCharType="separate"/>
      </w:r>
      <w:r>
        <w:rPr>
          <w:sz w:val="20"/>
          <w:szCs w:val="20"/>
        </w:rPr>
        <w:t>11</w:t>
      </w:r>
      <w:r w:rsidRPr="00A04969">
        <w:rPr>
          <w:sz w:val="20"/>
          <w:szCs w:val="20"/>
        </w:rPr>
        <w:fldChar w:fldCharType="end"/>
      </w:r>
      <w:r w:rsidRPr="00A04969">
        <w:rPr>
          <w:sz w:val="20"/>
          <w:szCs w:val="20"/>
        </w:rPr>
        <w:t xml:space="preserve">, ¶ 17(c); ELI Government to Government Consultation, supra n. </w:t>
      </w:r>
      <w:r w:rsidRPr="00A04969">
        <w:rPr>
          <w:sz w:val="20"/>
          <w:szCs w:val="20"/>
        </w:rPr>
        <w:fldChar w:fldCharType="begin"/>
      </w:r>
      <w:r w:rsidRPr="00A04969">
        <w:rPr>
          <w:sz w:val="20"/>
          <w:szCs w:val="20"/>
        </w:rPr>
        <w:instrText xml:space="preserve"> NOTEREF _Ref334001164 \h </w:instrText>
      </w:r>
      <w:r w:rsidRPr="00A04969">
        <w:rPr>
          <w:sz w:val="20"/>
          <w:szCs w:val="20"/>
        </w:rPr>
      </w:r>
      <w:r w:rsidRPr="00A04969">
        <w:rPr>
          <w:sz w:val="20"/>
          <w:szCs w:val="20"/>
        </w:rPr>
        <w:fldChar w:fldCharType="separate"/>
      </w:r>
      <w:r>
        <w:rPr>
          <w:sz w:val="20"/>
          <w:szCs w:val="20"/>
        </w:rPr>
        <w:t>155</w:t>
      </w:r>
      <w:r w:rsidRPr="00A04969">
        <w:rPr>
          <w:sz w:val="20"/>
          <w:szCs w:val="20"/>
        </w:rPr>
        <w:fldChar w:fldCharType="end"/>
      </w:r>
      <w:r w:rsidRPr="00A04969">
        <w:rPr>
          <w:sz w:val="20"/>
          <w:szCs w:val="20"/>
        </w:rPr>
        <w:t xml:space="preserve"> at 9.</w:t>
      </w:r>
    </w:p>
  </w:footnote>
  <w:footnote w:id="266">
    <w:p w14:paraId="245CE689" w14:textId="7495B511"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proofErr w:type="gramStart"/>
      <w:r w:rsidRPr="00A04969">
        <w:rPr>
          <w:rFonts w:ascii="Times New Roman" w:hAnsi="Times New Roman" w:cs="Times New Roman"/>
          <w:sz w:val="20"/>
          <w:szCs w:val="20"/>
        </w:rPr>
        <w:t xml:space="preserve">Poelzer 2015, </w:t>
      </w:r>
      <w:r w:rsidRPr="00A04969">
        <w:rPr>
          <w:rFonts w:ascii="Times New Roman" w:hAnsi="Times New Roman" w:cs="Times New Roman"/>
          <w:i/>
          <w:sz w:val="20"/>
          <w:szCs w:val="20"/>
        </w:rPr>
        <w:t>supra</w:t>
      </w:r>
      <w:r w:rsidRPr="00A04969">
        <w:rPr>
          <w:rFonts w:ascii="Times New Roman" w:hAnsi="Times New Roman" w:cs="Times New Roman"/>
          <w:sz w:val="20"/>
          <w:szCs w:val="20"/>
        </w:rPr>
        <w:t xml:space="preserve"> n. </w:t>
      </w:r>
      <w:r w:rsidRPr="00A04969">
        <w:rPr>
          <w:rFonts w:ascii="Times New Roman" w:hAnsi="Times New Roman" w:cs="Times New Roman"/>
          <w:sz w:val="20"/>
          <w:szCs w:val="20"/>
        </w:rPr>
        <w:fldChar w:fldCharType="begin"/>
      </w:r>
      <w:r w:rsidRPr="00A04969">
        <w:rPr>
          <w:rFonts w:ascii="Times New Roman" w:hAnsi="Times New Roman" w:cs="Times New Roman"/>
          <w:sz w:val="20"/>
          <w:szCs w:val="20"/>
        </w:rPr>
        <w:instrText xml:space="preserve"> NOTEREF _Ref334083020 \h </w:instrText>
      </w:r>
      <w:r w:rsidRPr="00A04969">
        <w:rPr>
          <w:rFonts w:ascii="Times New Roman" w:hAnsi="Times New Roman" w:cs="Times New Roman"/>
          <w:sz w:val="20"/>
          <w:szCs w:val="20"/>
        </w:rPr>
      </w:r>
      <w:r w:rsidRPr="00A04969">
        <w:rPr>
          <w:rFonts w:ascii="Times New Roman" w:hAnsi="Times New Roman" w:cs="Times New Roman"/>
          <w:sz w:val="20"/>
          <w:szCs w:val="20"/>
        </w:rPr>
        <w:fldChar w:fldCharType="separate"/>
      </w:r>
      <w:r>
        <w:rPr>
          <w:rFonts w:ascii="Times New Roman" w:hAnsi="Times New Roman" w:cs="Times New Roman"/>
          <w:sz w:val="20"/>
          <w:szCs w:val="20"/>
        </w:rPr>
        <w:t>44</w:t>
      </w:r>
      <w:r w:rsidRPr="00A04969">
        <w:rPr>
          <w:rFonts w:ascii="Times New Roman" w:hAnsi="Times New Roman" w:cs="Times New Roman"/>
          <w:sz w:val="20"/>
          <w:szCs w:val="20"/>
        </w:rPr>
        <w:fldChar w:fldCharType="end"/>
      </w:r>
      <w:r w:rsidRPr="00A04969">
        <w:rPr>
          <w:rFonts w:ascii="Times New Roman" w:hAnsi="Times New Roman" w:cs="Times New Roman"/>
          <w:sz w:val="20"/>
          <w:szCs w:val="20"/>
        </w:rPr>
        <w:t xml:space="preserve"> at 47.</w:t>
      </w:r>
      <w:proofErr w:type="gramEnd"/>
    </w:p>
  </w:footnote>
  <w:footnote w:id="267">
    <w:p w14:paraId="1B04DDA1" w14:textId="77777777"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U.S. Coast Guard in the Arctic: Arctic Shield 2016.</w:t>
      </w:r>
    </w:p>
  </w:footnote>
  <w:footnote w:id="268">
    <w:p w14:paraId="38E0579D" w14:textId="044A0831"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r w:rsidRPr="00A04969">
        <w:rPr>
          <w:rFonts w:ascii="Times New Roman" w:eastAsia="Times New Roman" w:hAnsi="Times New Roman" w:cs="Times New Roman"/>
          <w:color w:val="000000"/>
          <w:sz w:val="20"/>
          <w:szCs w:val="20"/>
        </w:rPr>
        <w:t xml:space="preserve">Procedures for Consultations between State Authorities and </w:t>
      </w:r>
      <w:proofErr w:type="gramStart"/>
      <w:r w:rsidRPr="00A04969">
        <w:rPr>
          <w:rFonts w:ascii="Times New Roman" w:eastAsia="Times New Roman" w:hAnsi="Times New Roman" w:cs="Times New Roman"/>
          <w:color w:val="000000"/>
          <w:sz w:val="20"/>
          <w:szCs w:val="20"/>
        </w:rPr>
        <w:t>The</w:t>
      </w:r>
      <w:proofErr w:type="gramEnd"/>
      <w:r w:rsidRPr="00A04969">
        <w:rPr>
          <w:rFonts w:ascii="Times New Roman" w:eastAsia="Times New Roman" w:hAnsi="Times New Roman" w:cs="Times New Roman"/>
          <w:color w:val="000000"/>
          <w:sz w:val="20"/>
          <w:szCs w:val="20"/>
        </w:rPr>
        <w:t xml:space="preserve"> Saami Parliament (2005).</w:t>
      </w:r>
    </w:p>
  </w:footnote>
  <w:footnote w:id="269">
    <w:p w14:paraId="11940439" w14:textId="269952FB"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proofErr w:type="gramStart"/>
      <w:r w:rsidRPr="00A04969">
        <w:rPr>
          <w:rFonts w:ascii="Times New Roman" w:hAnsi="Times New Roman" w:cs="Times New Roman"/>
          <w:sz w:val="20"/>
          <w:szCs w:val="20"/>
        </w:rPr>
        <w:t>R</w:t>
      </w:r>
      <w:r w:rsidRPr="00A04969">
        <w:rPr>
          <w:rFonts w:ascii="Times New Roman" w:hAnsi="Times New Roman" w:cs="Times New Roman"/>
          <w:iCs/>
          <w:sz w:val="20"/>
          <w:szCs w:val="20"/>
        </w:rPr>
        <w:t>aymond-</w:t>
      </w:r>
      <w:proofErr w:type="spellStart"/>
      <w:r w:rsidRPr="00A04969">
        <w:rPr>
          <w:rFonts w:ascii="Times New Roman" w:hAnsi="Times New Roman" w:cs="Times New Roman"/>
          <w:iCs/>
          <w:sz w:val="20"/>
          <w:szCs w:val="20"/>
        </w:rPr>
        <w:t>Yakoubian</w:t>
      </w:r>
      <w:proofErr w:type="spellEnd"/>
      <w:r w:rsidRPr="00A04969">
        <w:rPr>
          <w:rFonts w:ascii="Times New Roman" w:hAnsi="Times New Roman" w:cs="Times New Roman"/>
          <w:iCs/>
          <w:sz w:val="20"/>
          <w:szCs w:val="20"/>
        </w:rPr>
        <w:t>, J. et al</w:t>
      </w:r>
      <w:r w:rsidRPr="00A04969">
        <w:rPr>
          <w:rFonts w:ascii="Times New Roman" w:hAnsi="Times New Roman" w:cs="Times New Roman"/>
          <w:sz w:val="20"/>
          <w:szCs w:val="20"/>
        </w:rPr>
        <w:t xml:space="preserve">, </w:t>
      </w:r>
      <w:r w:rsidRPr="00A04969">
        <w:rPr>
          <w:rFonts w:ascii="Times New Roman" w:hAnsi="Times New Roman" w:cs="Times New Roman"/>
          <w:i/>
          <w:sz w:val="20"/>
          <w:szCs w:val="20"/>
        </w:rPr>
        <w:t>supra</w:t>
      </w:r>
      <w:r w:rsidRPr="00A04969">
        <w:rPr>
          <w:rFonts w:ascii="Times New Roman" w:hAnsi="Times New Roman" w:cs="Times New Roman"/>
          <w:sz w:val="20"/>
          <w:szCs w:val="20"/>
        </w:rPr>
        <w:t xml:space="preserve"> n. </w:t>
      </w:r>
      <w:r w:rsidRPr="00A04969">
        <w:rPr>
          <w:rFonts w:ascii="Times New Roman" w:hAnsi="Times New Roman" w:cs="Times New Roman"/>
          <w:sz w:val="20"/>
          <w:szCs w:val="20"/>
        </w:rPr>
        <w:fldChar w:fldCharType="begin"/>
      </w:r>
      <w:r w:rsidRPr="00A04969">
        <w:rPr>
          <w:rFonts w:ascii="Times New Roman" w:hAnsi="Times New Roman" w:cs="Times New Roman"/>
          <w:sz w:val="20"/>
          <w:szCs w:val="20"/>
        </w:rPr>
        <w:instrText xml:space="preserve"> NOTEREF _Ref334006869 \h </w:instrText>
      </w:r>
      <w:r w:rsidRPr="00A04969">
        <w:rPr>
          <w:rFonts w:ascii="Times New Roman" w:hAnsi="Times New Roman" w:cs="Times New Roman"/>
          <w:sz w:val="20"/>
          <w:szCs w:val="20"/>
        </w:rPr>
      </w:r>
      <w:r w:rsidRPr="00A04969">
        <w:rPr>
          <w:rFonts w:ascii="Times New Roman" w:hAnsi="Times New Roman" w:cs="Times New Roman"/>
          <w:sz w:val="20"/>
          <w:szCs w:val="20"/>
        </w:rPr>
        <w:fldChar w:fldCharType="separate"/>
      </w:r>
      <w:r>
        <w:rPr>
          <w:rFonts w:ascii="Times New Roman" w:hAnsi="Times New Roman" w:cs="Times New Roman"/>
          <w:sz w:val="20"/>
          <w:szCs w:val="20"/>
        </w:rPr>
        <w:t>86</w:t>
      </w:r>
      <w:r w:rsidRPr="00A04969">
        <w:rPr>
          <w:rFonts w:ascii="Times New Roman" w:hAnsi="Times New Roman" w:cs="Times New Roman"/>
          <w:sz w:val="20"/>
          <w:szCs w:val="20"/>
        </w:rPr>
        <w:fldChar w:fldCharType="end"/>
      </w:r>
      <w:r w:rsidRPr="00A04969">
        <w:rPr>
          <w:rFonts w:ascii="Times New Roman" w:hAnsi="Times New Roman" w:cs="Times New Roman"/>
          <w:sz w:val="20"/>
          <w:szCs w:val="20"/>
        </w:rPr>
        <w:t xml:space="preserve"> at 55.</w:t>
      </w:r>
      <w:proofErr w:type="gramEnd"/>
    </w:p>
  </w:footnote>
  <w:footnote w:id="270">
    <w:p w14:paraId="742D4F4A" w14:textId="7035E955"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proofErr w:type="gramStart"/>
      <w:r w:rsidRPr="00A04969">
        <w:rPr>
          <w:rFonts w:ascii="Times New Roman" w:hAnsi="Times New Roman" w:cs="Times New Roman"/>
          <w:sz w:val="20"/>
          <w:szCs w:val="20"/>
        </w:rPr>
        <w:t xml:space="preserve">IFC Good Practice Handbook, </w:t>
      </w:r>
      <w:r w:rsidRPr="00A04969">
        <w:rPr>
          <w:rFonts w:ascii="Times New Roman" w:hAnsi="Times New Roman" w:cs="Times New Roman"/>
          <w:i/>
          <w:sz w:val="20"/>
          <w:szCs w:val="20"/>
        </w:rPr>
        <w:t>supra</w:t>
      </w:r>
      <w:r w:rsidRPr="00A04969">
        <w:rPr>
          <w:rFonts w:ascii="Times New Roman" w:hAnsi="Times New Roman" w:cs="Times New Roman"/>
          <w:sz w:val="20"/>
          <w:szCs w:val="20"/>
        </w:rPr>
        <w:t xml:space="preserve"> n. </w:t>
      </w:r>
      <w:r w:rsidRPr="00A04969">
        <w:rPr>
          <w:rFonts w:ascii="Times New Roman" w:hAnsi="Times New Roman" w:cs="Times New Roman"/>
          <w:sz w:val="20"/>
          <w:szCs w:val="20"/>
        </w:rPr>
        <w:fldChar w:fldCharType="begin"/>
      </w:r>
      <w:r w:rsidRPr="00A04969">
        <w:rPr>
          <w:rFonts w:ascii="Times New Roman" w:hAnsi="Times New Roman" w:cs="Times New Roman"/>
          <w:sz w:val="20"/>
          <w:szCs w:val="20"/>
        </w:rPr>
        <w:instrText xml:space="preserve"> NOTEREF _Ref334083573 \h </w:instrText>
      </w:r>
      <w:r w:rsidRPr="00A04969">
        <w:rPr>
          <w:rFonts w:ascii="Times New Roman" w:hAnsi="Times New Roman" w:cs="Times New Roman"/>
          <w:sz w:val="20"/>
          <w:szCs w:val="20"/>
        </w:rPr>
      </w:r>
      <w:r w:rsidRPr="00A04969">
        <w:rPr>
          <w:rFonts w:ascii="Times New Roman" w:hAnsi="Times New Roman" w:cs="Times New Roman"/>
          <w:sz w:val="20"/>
          <w:szCs w:val="20"/>
        </w:rPr>
        <w:fldChar w:fldCharType="separate"/>
      </w:r>
      <w:r>
        <w:rPr>
          <w:rFonts w:ascii="Times New Roman" w:hAnsi="Times New Roman" w:cs="Times New Roman"/>
          <w:sz w:val="20"/>
          <w:szCs w:val="20"/>
        </w:rPr>
        <w:t>53</w:t>
      </w:r>
      <w:r w:rsidRPr="00A04969">
        <w:rPr>
          <w:rFonts w:ascii="Times New Roman" w:hAnsi="Times New Roman" w:cs="Times New Roman"/>
          <w:sz w:val="20"/>
          <w:szCs w:val="20"/>
        </w:rPr>
        <w:fldChar w:fldCharType="end"/>
      </w:r>
      <w:r w:rsidRPr="00A04969">
        <w:rPr>
          <w:rFonts w:ascii="Times New Roman" w:hAnsi="Times New Roman" w:cs="Times New Roman"/>
          <w:sz w:val="20"/>
          <w:szCs w:val="20"/>
        </w:rPr>
        <w:t xml:space="preserve"> at 12.</w:t>
      </w:r>
      <w:proofErr w:type="gramEnd"/>
    </w:p>
  </w:footnote>
  <w:footnote w:id="271">
    <w:p w14:paraId="6F71CB09" w14:textId="780A2B35"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AMSP 2004</w:t>
      </w:r>
      <w:r w:rsidRPr="00A04969">
        <w:rPr>
          <w:rFonts w:ascii="Times New Roman" w:hAnsi="Times New Roman" w:cs="Times New Roman"/>
          <w:i/>
          <w:sz w:val="20"/>
          <w:szCs w:val="20"/>
        </w:rPr>
        <w:t xml:space="preserve"> supra</w:t>
      </w:r>
      <w:r w:rsidRPr="00A04969">
        <w:rPr>
          <w:rFonts w:ascii="Times New Roman" w:hAnsi="Times New Roman" w:cs="Times New Roman"/>
          <w:sz w:val="20"/>
          <w:szCs w:val="20"/>
        </w:rPr>
        <w:t xml:space="preserve"> n. </w:t>
      </w:r>
      <w:r w:rsidRPr="00A04969">
        <w:rPr>
          <w:rFonts w:ascii="Times New Roman" w:hAnsi="Times New Roman" w:cs="Times New Roman"/>
          <w:sz w:val="20"/>
          <w:szCs w:val="20"/>
        </w:rPr>
        <w:fldChar w:fldCharType="begin"/>
      </w:r>
      <w:r w:rsidRPr="00A04969">
        <w:rPr>
          <w:rFonts w:ascii="Times New Roman" w:hAnsi="Times New Roman" w:cs="Times New Roman"/>
          <w:sz w:val="20"/>
          <w:szCs w:val="20"/>
        </w:rPr>
        <w:instrText xml:space="preserve"> NOTEREF _Ref334001851 \h </w:instrText>
      </w:r>
      <w:r w:rsidRPr="00A04969">
        <w:rPr>
          <w:rFonts w:ascii="Times New Roman" w:hAnsi="Times New Roman" w:cs="Times New Roman"/>
          <w:sz w:val="20"/>
          <w:szCs w:val="20"/>
        </w:rPr>
      </w:r>
      <w:r w:rsidRPr="00A04969">
        <w:rPr>
          <w:rFonts w:ascii="Times New Roman" w:hAnsi="Times New Roman" w:cs="Times New Roman"/>
          <w:sz w:val="20"/>
          <w:szCs w:val="20"/>
        </w:rPr>
        <w:fldChar w:fldCharType="separate"/>
      </w:r>
      <w:r>
        <w:rPr>
          <w:rFonts w:ascii="Times New Roman" w:hAnsi="Times New Roman" w:cs="Times New Roman"/>
          <w:sz w:val="20"/>
          <w:szCs w:val="20"/>
        </w:rPr>
        <w:t>189</w:t>
      </w:r>
      <w:r w:rsidRPr="00A04969">
        <w:rPr>
          <w:rFonts w:ascii="Times New Roman" w:hAnsi="Times New Roman" w:cs="Times New Roman"/>
          <w:sz w:val="20"/>
          <w:szCs w:val="20"/>
        </w:rPr>
        <w:fldChar w:fldCharType="end"/>
      </w:r>
      <w:r w:rsidRPr="00A04969">
        <w:rPr>
          <w:rFonts w:ascii="Times New Roman" w:hAnsi="Times New Roman" w:cs="Times New Roman"/>
          <w:sz w:val="20"/>
          <w:szCs w:val="20"/>
        </w:rPr>
        <w:t xml:space="preserve">, Strategic Action 7.5.1; </w:t>
      </w:r>
      <w:r w:rsidRPr="00A04969">
        <w:rPr>
          <w:rFonts w:ascii="Times New Roman" w:hAnsi="Times New Roman" w:cs="Times New Roman"/>
          <w:i/>
          <w:sz w:val="20"/>
          <w:szCs w:val="20"/>
        </w:rPr>
        <w:t xml:space="preserve">see also </w:t>
      </w:r>
      <w:r w:rsidRPr="00A04969">
        <w:rPr>
          <w:rFonts w:ascii="Times New Roman" w:hAnsi="Times New Roman" w:cs="Times New Roman"/>
          <w:sz w:val="20"/>
          <w:szCs w:val="20"/>
        </w:rPr>
        <w:t xml:space="preserve">AMSP 2015, </w:t>
      </w:r>
      <w:r w:rsidRPr="00A04969">
        <w:rPr>
          <w:rFonts w:ascii="Times New Roman" w:hAnsi="Times New Roman" w:cs="Times New Roman"/>
          <w:i/>
          <w:sz w:val="20"/>
          <w:szCs w:val="20"/>
        </w:rPr>
        <w:t>supra</w:t>
      </w:r>
      <w:r w:rsidRPr="00A04969">
        <w:rPr>
          <w:rFonts w:ascii="Times New Roman" w:hAnsi="Times New Roman" w:cs="Times New Roman"/>
          <w:sz w:val="20"/>
          <w:szCs w:val="20"/>
        </w:rPr>
        <w:t xml:space="preserve"> n. </w:t>
      </w:r>
      <w:r w:rsidRPr="00A04969">
        <w:rPr>
          <w:rFonts w:ascii="Times New Roman" w:hAnsi="Times New Roman" w:cs="Times New Roman"/>
          <w:sz w:val="20"/>
          <w:szCs w:val="20"/>
        </w:rPr>
        <w:fldChar w:fldCharType="begin"/>
      </w:r>
      <w:r w:rsidRPr="00A04969">
        <w:rPr>
          <w:rFonts w:ascii="Times New Roman" w:hAnsi="Times New Roman" w:cs="Times New Roman"/>
          <w:sz w:val="20"/>
          <w:szCs w:val="20"/>
        </w:rPr>
        <w:instrText xml:space="preserve"> NOTEREF _Ref334006431 \h </w:instrText>
      </w:r>
      <w:r w:rsidRPr="00A04969">
        <w:rPr>
          <w:rFonts w:ascii="Times New Roman" w:hAnsi="Times New Roman" w:cs="Times New Roman"/>
          <w:sz w:val="20"/>
          <w:szCs w:val="20"/>
        </w:rPr>
      </w:r>
      <w:r w:rsidRPr="00A04969">
        <w:rPr>
          <w:rFonts w:ascii="Times New Roman" w:hAnsi="Times New Roman" w:cs="Times New Roman"/>
          <w:sz w:val="20"/>
          <w:szCs w:val="20"/>
        </w:rPr>
        <w:fldChar w:fldCharType="separate"/>
      </w:r>
      <w:r>
        <w:rPr>
          <w:rFonts w:ascii="Times New Roman" w:hAnsi="Times New Roman" w:cs="Times New Roman"/>
          <w:sz w:val="20"/>
          <w:szCs w:val="20"/>
        </w:rPr>
        <w:t>190</w:t>
      </w:r>
      <w:r w:rsidRPr="00A04969">
        <w:rPr>
          <w:rFonts w:ascii="Times New Roman" w:hAnsi="Times New Roman" w:cs="Times New Roman"/>
          <w:sz w:val="20"/>
          <w:szCs w:val="20"/>
        </w:rPr>
        <w:fldChar w:fldCharType="end"/>
      </w:r>
      <w:r w:rsidRPr="00A04969">
        <w:rPr>
          <w:rFonts w:ascii="Times New Roman" w:hAnsi="Times New Roman" w:cs="Times New Roman"/>
          <w:sz w:val="20"/>
          <w:szCs w:val="20"/>
        </w:rPr>
        <w:t>, Strategic Action 7.3.12 (encouraging better communication between Arctic inhabitants and outside stakeholders).</w:t>
      </w:r>
    </w:p>
  </w:footnote>
  <w:footnote w:id="272">
    <w:p w14:paraId="16CD700B" w14:textId="46FA5C0A" w:rsidR="00D43BBB" w:rsidRPr="00A04969" w:rsidRDefault="00D43BBB" w:rsidP="002420B7">
      <w:pPr>
        <w:rPr>
          <w:rFonts w:eastAsia="Times New Roman"/>
          <w:color w:val="000000"/>
          <w:sz w:val="20"/>
          <w:szCs w:val="20"/>
          <w:lang w:val="en-US"/>
        </w:rPr>
      </w:pPr>
      <w:r w:rsidRPr="00A04969">
        <w:rPr>
          <w:rStyle w:val="FootnoteReference"/>
          <w:sz w:val="20"/>
          <w:szCs w:val="20"/>
        </w:rPr>
        <w:footnoteRef/>
      </w:r>
      <w:r w:rsidRPr="00A04969">
        <w:rPr>
          <w:sz w:val="20"/>
          <w:szCs w:val="20"/>
        </w:rPr>
        <w:t xml:space="preserve"> U.S. Government, </w:t>
      </w:r>
      <w:r w:rsidRPr="00A04969">
        <w:rPr>
          <w:rFonts w:eastAsia="Times New Roman"/>
          <w:color w:val="000000"/>
          <w:sz w:val="20"/>
          <w:szCs w:val="20"/>
          <w:lang w:val="en-US"/>
        </w:rPr>
        <w:t>Implementation Plan for the National Strategy for the Arctic Region (2014).</w:t>
      </w:r>
    </w:p>
  </w:footnote>
  <w:footnote w:id="273">
    <w:p w14:paraId="266B9A7B" w14:textId="41D49F25"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Taking Stock of Adaptation, </w:t>
      </w:r>
      <w:r w:rsidRPr="00A04969">
        <w:rPr>
          <w:rFonts w:ascii="Times New Roman" w:hAnsi="Times New Roman" w:cs="Times New Roman"/>
          <w:i/>
          <w:sz w:val="20"/>
          <w:szCs w:val="20"/>
        </w:rPr>
        <w:t>supra</w:t>
      </w:r>
      <w:r w:rsidRPr="00A04969">
        <w:rPr>
          <w:rFonts w:ascii="Times New Roman" w:hAnsi="Times New Roman" w:cs="Times New Roman"/>
          <w:sz w:val="20"/>
          <w:szCs w:val="20"/>
        </w:rPr>
        <w:t xml:space="preserve"> n. </w:t>
      </w:r>
      <w:r w:rsidRPr="00A04969">
        <w:rPr>
          <w:rFonts w:ascii="Times New Roman" w:hAnsi="Times New Roman" w:cs="Times New Roman"/>
          <w:sz w:val="20"/>
          <w:szCs w:val="20"/>
        </w:rPr>
        <w:fldChar w:fldCharType="begin"/>
      </w:r>
      <w:r w:rsidRPr="00A04969">
        <w:rPr>
          <w:rFonts w:ascii="Times New Roman" w:hAnsi="Times New Roman" w:cs="Times New Roman"/>
          <w:sz w:val="20"/>
          <w:szCs w:val="20"/>
        </w:rPr>
        <w:instrText xml:space="preserve"> NOTEREF _Ref334005868 \h </w:instrText>
      </w:r>
      <w:r w:rsidRPr="00A04969">
        <w:rPr>
          <w:rFonts w:ascii="Times New Roman" w:hAnsi="Times New Roman" w:cs="Times New Roman"/>
          <w:sz w:val="20"/>
          <w:szCs w:val="20"/>
        </w:rPr>
      </w:r>
      <w:r w:rsidRPr="00A04969">
        <w:rPr>
          <w:rFonts w:ascii="Times New Roman" w:hAnsi="Times New Roman" w:cs="Times New Roman"/>
          <w:sz w:val="20"/>
          <w:szCs w:val="20"/>
        </w:rPr>
        <w:fldChar w:fldCharType="separate"/>
      </w:r>
      <w:r>
        <w:rPr>
          <w:rFonts w:ascii="Times New Roman" w:hAnsi="Times New Roman" w:cs="Times New Roman"/>
          <w:sz w:val="20"/>
          <w:szCs w:val="20"/>
        </w:rPr>
        <w:t>225</w:t>
      </w:r>
      <w:r w:rsidRPr="00A04969">
        <w:rPr>
          <w:rFonts w:ascii="Times New Roman" w:hAnsi="Times New Roman" w:cs="Times New Roman"/>
          <w:sz w:val="20"/>
          <w:szCs w:val="20"/>
        </w:rPr>
        <w:fldChar w:fldCharType="end"/>
      </w:r>
      <w:r w:rsidRPr="00A04969">
        <w:rPr>
          <w:rFonts w:ascii="Times New Roman" w:hAnsi="Times New Roman" w:cs="Times New Roman"/>
          <w:sz w:val="20"/>
          <w:szCs w:val="20"/>
        </w:rPr>
        <w:t>.</w:t>
      </w:r>
    </w:p>
  </w:footnote>
  <w:footnote w:id="274">
    <w:p w14:paraId="513C0B0A" w14:textId="18E40CF0" w:rsidR="00D43BBB" w:rsidRPr="00A04969" w:rsidRDefault="00D43BBB" w:rsidP="002420B7">
      <w:pPr>
        <w:rPr>
          <w:rFonts w:eastAsia="Times New Roman"/>
          <w:color w:val="000000"/>
          <w:sz w:val="20"/>
          <w:szCs w:val="20"/>
          <w:lang w:val="en-US"/>
        </w:rPr>
      </w:pPr>
      <w:r w:rsidRPr="00A04969">
        <w:rPr>
          <w:rStyle w:val="FootnoteReference"/>
          <w:sz w:val="20"/>
          <w:szCs w:val="20"/>
        </w:rPr>
        <w:footnoteRef/>
      </w:r>
      <w:r w:rsidRPr="00A04969">
        <w:rPr>
          <w:sz w:val="20"/>
          <w:szCs w:val="20"/>
        </w:rPr>
        <w:t xml:space="preserve"> </w:t>
      </w:r>
      <w:proofErr w:type="gramStart"/>
      <w:r w:rsidRPr="00A04969">
        <w:rPr>
          <w:rFonts w:eastAsia="Times New Roman"/>
          <w:color w:val="000000"/>
          <w:sz w:val="20"/>
          <w:szCs w:val="20"/>
          <w:lang w:val="en-US"/>
        </w:rPr>
        <w:t xml:space="preserve">SDWG Mining Guide, </w:t>
      </w:r>
      <w:r w:rsidRPr="00A04969">
        <w:rPr>
          <w:rFonts w:eastAsia="Times New Roman"/>
          <w:i/>
          <w:color w:val="000000"/>
          <w:sz w:val="20"/>
          <w:szCs w:val="20"/>
        </w:rPr>
        <w:t>supra</w:t>
      </w:r>
      <w:r w:rsidRPr="00A04969">
        <w:rPr>
          <w:rFonts w:eastAsia="Times New Roman"/>
          <w:color w:val="000000"/>
          <w:sz w:val="20"/>
          <w:szCs w:val="20"/>
        </w:rPr>
        <w:t xml:space="preserve"> n. </w:t>
      </w:r>
      <w:r w:rsidRPr="00A04969">
        <w:rPr>
          <w:rFonts w:eastAsia="Times New Roman"/>
          <w:color w:val="000000"/>
          <w:sz w:val="20"/>
          <w:szCs w:val="20"/>
        </w:rPr>
        <w:fldChar w:fldCharType="begin"/>
      </w:r>
      <w:r w:rsidRPr="00A04969">
        <w:rPr>
          <w:rFonts w:eastAsia="Times New Roman"/>
          <w:color w:val="000000"/>
          <w:sz w:val="20"/>
          <w:szCs w:val="20"/>
        </w:rPr>
        <w:instrText xml:space="preserve"> NOTEREF _Ref334082904 \h </w:instrText>
      </w:r>
      <w:r w:rsidRPr="00A04969">
        <w:rPr>
          <w:rFonts w:eastAsia="Times New Roman"/>
          <w:color w:val="000000"/>
          <w:sz w:val="20"/>
          <w:szCs w:val="20"/>
        </w:rPr>
      </w:r>
      <w:r w:rsidRPr="00A04969">
        <w:rPr>
          <w:rFonts w:eastAsia="Times New Roman"/>
          <w:color w:val="000000"/>
          <w:sz w:val="20"/>
          <w:szCs w:val="20"/>
        </w:rPr>
        <w:fldChar w:fldCharType="separate"/>
      </w:r>
      <w:r>
        <w:rPr>
          <w:rFonts w:eastAsia="Times New Roman"/>
          <w:color w:val="000000"/>
          <w:sz w:val="20"/>
          <w:szCs w:val="20"/>
        </w:rPr>
        <w:t>38</w:t>
      </w:r>
      <w:r w:rsidRPr="00A04969">
        <w:rPr>
          <w:rFonts w:eastAsia="Times New Roman"/>
          <w:color w:val="000000"/>
          <w:sz w:val="20"/>
          <w:szCs w:val="20"/>
        </w:rPr>
        <w:fldChar w:fldCharType="end"/>
      </w:r>
      <w:r w:rsidRPr="00A04969">
        <w:rPr>
          <w:rFonts w:eastAsia="Times New Roman"/>
          <w:color w:val="000000"/>
          <w:sz w:val="20"/>
          <w:szCs w:val="20"/>
          <w:lang w:val="en-US"/>
        </w:rPr>
        <w:t>.</w:t>
      </w:r>
      <w:proofErr w:type="gramEnd"/>
    </w:p>
  </w:footnote>
  <w:footnote w:id="275">
    <w:p w14:paraId="3399A3CB" w14:textId="5E5E0F15"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proofErr w:type="gramStart"/>
      <w:r w:rsidRPr="00A04969">
        <w:rPr>
          <w:rFonts w:ascii="Times New Roman" w:hAnsi="Times New Roman" w:cs="Times New Roman"/>
          <w:i/>
          <w:sz w:val="20"/>
          <w:szCs w:val="20"/>
        </w:rPr>
        <w:t>See, e.g.,</w:t>
      </w:r>
      <w:r w:rsidRPr="00A04969">
        <w:rPr>
          <w:rFonts w:ascii="Times New Roman" w:hAnsi="Times New Roman" w:cs="Times New Roman"/>
          <w:sz w:val="20"/>
          <w:szCs w:val="20"/>
        </w:rPr>
        <w:t xml:space="preserve"> </w:t>
      </w:r>
      <w:r w:rsidRPr="00A04969">
        <w:rPr>
          <w:rFonts w:ascii="Times New Roman" w:hAnsi="Times New Roman" w:cs="Times New Roman"/>
          <w:sz w:val="20"/>
          <w:szCs w:val="20"/>
          <w:lang w:val="en-CA"/>
        </w:rPr>
        <w:t xml:space="preserve">MVLWB Policy, </w:t>
      </w:r>
      <w:r w:rsidRPr="00A04969">
        <w:rPr>
          <w:rFonts w:ascii="Times New Roman" w:hAnsi="Times New Roman" w:cs="Times New Roman"/>
          <w:i/>
          <w:sz w:val="20"/>
          <w:szCs w:val="20"/>
          <w:lang w:val="en-CA"/>
        </w:rPr>
        <w:t>supra</w:t>
      </w:r>
      <w:r w:rsidRPr="00A04969">
        <w:rPr>
          <w:rFonts w:ascii="Times New Roman" w:hAnsi="Times New Roman" w:cs="Times New Roman"/>
          <w:sz w:val="20"/>
          <w:szCs w:val="20"/>
          <w:lang w:val="en-CA"/>
        </w:rPr>
        <w:t xml:space="preserve"> n. </w:t>
      </w:r>
      <w:r w:rsidRPr="00A04969">
        <w:rPr>
          <w:rFonts w:ascii="Times New Roman" w:hAnsi="Times New Roman" w:cs="Times New Roman"/>
          <w:sz w:val="20"/>
          <w:szCs w:val="20"/>
          <w:lang w:val="en-CA"/>
        </w:rPr>
        <w:fldChar w:fldCharType="begin"/>
      </w:r>
      <w:r w:rsidRPr="00A04969">
        <w:rPr>
          <w:rFonts w:ascii="Times New Roman" w:hAnsi="Times New Roman" w:cs="Times New Roman"/>
          <w:sz w:val="20"/>
          <w:szCs w:val="20"/>
          <w:lang w:val="en-CA"/>
        </w:rPr>
        <w:instrText xml:space="preserve"> NOTEREF _Ref334084615 \h </w:instrText>
      </w:r>
      <w:r w:rsidRPr="00A04969">
        <w:rPr>
          <w:rFonts w:ascii="Times New Roman" w:hAnsi="Times New Roman" w:cs="Times New Roman"/>
          <w:sz w:val="20"/>
          <w:szCs w:val="20"/>
          <w:lang w:val="en-CA"/>
        </w:rPr>
      </w:r>
      <w:r w:rsidRPr="00A04969">
        <w:rPr>
          <w:rFonts w:ascii="Times New Roman" w:hAnsi="Times New Roman" w:cs="Times New Roman"/>
          <w:sz w:val="20"/>
          <w:szCs w:val="20"/>
          <w:lang w:val="en-CA"/>
        </w:rPr>
        <w:fldChar w:fldCharType="separate"/>
      </w:r>
      <w:r>
        <w:rPr>
          <w:rFonts w:ascii="Times New Roman" w:hAnsi="Times New Roman" w:cs="Times New Roman"/>
          <w:sz w:val="20"/>
          <w:szCs w:val="20"/>
          <w:lang w:val="en-CA"/>
        </w:rPr>
        <w:t>43</w:t>
      </w:r>
      <w:r w:rsidRPr="00A04969">
        <w:rPr>
          <w:rFonts w:ascii="Times New Roman" w:hAnsi="Times New Roman" w:cs="Times New Roman"/>
          <w:sz w:val="20"/>
          <w:szCs w:val="20"/>
          <w:lang w:val="en-CA"/>
        </w:rPr>
        <w:fldChar w:fldCharType="end"/>
      </w:r>
      <w:r w:rsidRPr="00A04969">
        <w:rPr>
          <w:rFonts w:ascii="Times New Roman" w:hAnsi="Times New Roman" w:cs="Times New Roman"/>
          <w:sz w:val="20"/>
          <w:szCs w:val="20"/>
          <w:lang w:val="en-CA"/>
        </w:rPr>
        <w:t>.</w:t>
      </w:r>
      <w:proofErr w:type="gramEnd"/>
    </w:p>
  </w:footnote>
  <w:footnote w:id="276">
    <w:p w14:paraId="150B22C0" w14:textId="6B411CE3"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r w:rsidRPr="00A04969">
        <w:rPr>
          <w:rFonts w:ascii="Times New Roman" w:hAnsi="Times New Roman" w:cs="Times New Roman"/>
          <w:iCs/>
          <w:sz w:val="20"/>
          <w:szCs w:val="20"/>
        </w:rPr>
        <w:t>Guiding Principles</w:t>
      </w:r>
      <w:r w:rsidRPr="00A04969">
        <w:rPr>
          <w:rFonts w:ascii="Times New Roman" w:hAnsi="Times New Roman" w:cs="Times New Roman"/>
          <w:sz w:val="20"/>
          <w:szCs w:val="20"/>
        </w:rPr>
        <w:t xml:space="preserve">, </w:t>
      </w:r>
      <w:r w:rsidRPr="00A04969">
        <w:rPr>
          <w:rFonts w:ascii="Times New Roman" w:hAnsi="Times New Roman" w:cs="Times New Roman"/>
          <w:i/>
          <w:sz w:val="20"/>
          <w:szCs w:val="20"/>
        </w:rPr>
        <w:t xml:space="preserve">supra </w:t>
      </w:r>
      <w:r w:rsidRPr="00A04969">
        <w:rPr>
          <w:rFonts w:ascii="Times New Roman" w:hAnsi="Times New Roman" w:cs="Times New Roman"/>
          <w:sz w:val="20"/>
          <w:szCs w:val="20"/>
        </w:rPr>
        <w:t xml:space="preserve">n. </w:t>
      </w:r>
      <w:r w:rsidRPr="00A04969">
        <w:rPr>
          <w:rFonts w:ascii="Times New Roman" w:hAnsi="Times New Roman" w:cs="Times New Roman"/>
          <w:sz w:val="20"/>
          <w:szCs w:val="20"/>
        </w:rPr>
        <w:fldChar w:fldCharType="begin"/>
      </w:r>
      <w:r w:rsidRPr="00A04969">
        <w:rPr>
          <w:rFonts w:ascii="Times New Roman" w:hAnsi="Times New Roman" w:cs="Times New Roman"/>
          <w:sz w:val="20"/>
          <w:szCs w:val="20"/>
        </w:rPr>
        <w:instrText xml:space="preserve"> NOTEREF _Ref333307740 \h </w:instrText>
      </w:r>
      <w:r w:rsidRPr="00A04969">
        <w:rPr>
          <w:rFonts w:ascii="Times New Roman" w:hAnsi="Times New Roman" w:cs="Times New Roman"/>
          <w:sz w:val="20"/>
          <w:szCs w:val="20"/>
        </w:rPr>
      </w:r>
      <w:r w:rsidRPr="00A04969">
        <w:rPr>
          <w:rFonts w:ascii="Times New Roman" w:hAnsi="Times New Roman" w:cs="Times New Roman"/>
          <w:sz w:val="20"/>
          <w:szCs w:val="20"/>
        </w:rPr>
        <w:fldChar w:fldCharType="separate"/>
      </w:r>
      <w:r>
        <w:rPr>
          <w:rFonts w:ascii="Times New Roman" w:hAnsi="Times New Roman" w:cs="Times New Roman"/>
          <w:sz w:val="20"/>
          <w:szCs w:val="20"/>
        </w:rPr>
        <w:t>11</w:t>
      </w:r>
      <w:r w:rsidRPr="00A04969">
        <w:rPr>
          <w:rFonts w:ascii="Times New Roman" w:hAnsi="Times New Roman" w:cs="Times New Roman"/>
          <w:sz w:val="20"/>
          <w:szCs w:val="20"/>
        </w:rPr>
        <w:fldChar w:fldCharType="end"/>
      </w:r>
      <w:r w:rsidRPr="00A04969">
        <w:rPr>
          <w:rFonts w:ascii="Times New Roman" w:hAnsi="Times New Roman" w:cs="Times New Roman"/>
          <w:sz w:val="20"/>
          <w:szCs w:val="20"/>
        </w:rPr>
        <w:t xml:space="preserve">, ¶¶ 19, 20, 21; Global Compact Good Practice, </w:t>
      </w:r>
      <w:r w:rsidRPr="00A04969">
        <w:rPr>
          <w:rFonts w:ascii="Times New Roman" w:hAnsi="Times New Roman" w:cs="Times New Roman"/>
          <w:i/>
          <w:sz w:val="20"/>
          <w:szCs w:val="20"/>
        </w:rPr>
        <w:t>supra</w:t>
      </w:r>
      <w:r w:rsidRPr="00A04969">
        <w:rPr>
          <w:rFonts w:ascii="Times New Roman" w:hAnsi="Times New Roman" w:cs="Times New Roman"/>
          <w:sz w:val="20"/>
          <w:szCs w:val="20"/>
        </w:rPr>
        <w:t xml:space="preserve"> n. </w:t>
      </w:r>
      <w:r w:rsidRPr="00A04969">
        <w:rPr>
          <w:rFonts w:ascii="Times New Roman" w:hAnsi="Times New Roman" w:cs="Times New Roman"/>
          <w:sz w:val="20"/>
          <w:szCs w:val="20"/>
        </w:rPr>
        <w:fldChar w:fldCharType="begin"/>
      </w:r>
      <w:r w:rsidRPr="00A04969">
        <w:rPr>
          <w:rFonts w:ascii="Times New Roman" w:hAnsi="Times New Roman" w:cs="Times New Roman"/>
          <w:sz w:val="20"/>
          <w:szCs w:val="20"/>
        </w:rPr>
        <w:instrText xml:space="preserve"> NOTEREF _Ref334080159 \h </w:instrText>
      </w:r>
      <w:r w:rsidRPr="00A04969">
        <w:rPr>
          <w:rFonts w:ascii="Times New Roman" w:hAnsi="Times New Roman" w:cs="Times New Roman"/>
          <w:sz w:val="20"/>
          <w:szCs w:val="20"/>
        </w:rPr>
      </w:r>
      <w:r w:rsidRPr="00A04969">
        <w:rPr>
          <w:rFonts w:ascii="Times New Roman" w:hAnsi="Times New Roman" w:cs="Times New Roman"/>
          <w:sz w:val="20"/>
          <w:szCs w:val="20"/>
        </w:rPr>
        <w:fldChar w:fldCharType="separate"/>
      </w:r>
      <w:r>
        <w:rPr>
          <w:rFonts w:ascii="Times New Roman" w:hAnsi="Times New Roman" w:cs="Times New Roman"/>
          <w:sz w:val="20"/>
          <w:szCs w:val="20"/>
        </w:rPr>
        <w:t>40</w:t>
      </w:r>
      <w:r w:rsidRPr="00A04969">
        <w:rPr>
          <w:rFonts w:ascii="Times New Roman" w:hAnsi="Times New Roman" w:cs="Times New Roman"/>
          <w:sz w:val="20"/>
          <w:szCs w:val="20"/>
        </w:rPr>
        <w:fldChar w:fldCharType="end"/>
      </w:r>
      <w:r w:rsidRPr="00A04969">
        <w:rPr>
          <w:rFonts w:ascii="Times New Roman" w:hAnsi="Times New Roman" w:cs="Times New Roman"/>
          <w:sz w:val="20"/>
          <w:szCs w:val="20"/>
        </w:rPr>
        <w:t xml:space="preserve"> at 18.</w:t>
      </w:r>
    </w:p>
  </w:footnote>
  <w:footnote w:id="277">
    <w:p w14:paraId="20FB949A" w14:textId="610D5FF5" w:rsidR="00D43BBB" w:rsidRPr="00A04969" w:rsidRDefault="00D43BBB" w:rsidP="002420B7">
      <w:pPr>
        <w:widowControl w:val="0"/>
        <w:autoSpaceDE w:val="0"/>
        <w:autoSpaceDN w:val="0"/>
        <w:adjustRightInd w:val="0"/>
        <w:rPr>
          <w:sz w:val="20"/>
          <w:szCs w:val="20"/>
        </w:rPr>
      </w:pPr>
      <w:r w:rsidRPr="00A04969">
        <w:rPr>
          <w:rStyle w:val="FootnoteReference"/>
          <w:sz w:val="20"/>
          <w:szCs w:val="20"/>
        </w:rPr>
        <w:footnoteRef/>
      </w:r>
      <w:r w:rsidRPr="00A04969">
        <w:rPr>
          <w:sz w:val="20"/>
          <w:szCs w:val="20"/>
        </w:rPr>
        <w:t xml:space="preserve"> Kryazhkov, V., </w:t>
      </w:r>
      <w:r w:rsidRPr="00A04969">
        <w:rPr>
          <w:i/>
          <w:sz w:val="20"/>
          <w:szCs w:val="20"/>
        </w:rPr>
        <w:t>Legal Regulation re Indigenous Peoples and Subsoil Users in Russia</w:t>
      </w:r>
      <w:r w:rsidRPr="00A04969">
        <w:rPr>
          <w:sz w:val="20"/>
          <w:szCs w:val="20"/>
        </w:rPr>
        <w:t xml:space="preserve">, 39 </w:t>
      </w:r>
      <w:proofErr w:type="gramStart"/>
      <w:r w:rsidRPr="00A04969">
        <w:rPr>
          <w:sz w:val="20"/>
          <w:szCs w:val="20"/>
        </w:rPr>
        <w:t>The</w:t>
      </w:r>
      <w:proofErr w:type="gramEnd"/>
      <w:r w:rsidRPr="00A04969">
        <w:rPr>
          <w:sz w:val="20"/>
          <w:szCs w:val="20"/>
        </w:rPr>
        <w:t xml:space="preserve"> Northern Review 66, 74 (2015).</w:t>
      </w:r>
    </w:p>
  </w:footnote>
  <w:footnote w:id="278">
    <w:p w14:paraId="1E9521BF" w14:textId="77777777" w:rsidR="00D43BBB" w:rsidRPr="00A04969" w:rsidRDefault="00D43BBB" w:rsidP="004C7C77">
      <w:pPr>
        <w:widowControl w:val="0"/>
        <w:autoSpaceDE w:val="0"/>
        <w:autoSpaceDN w:val="0"/>
        <w:adjustRightInd w:val="0"/>
        <w:rPr>
          <w:sz w:val="20"/>
          <w:szCs w:val="20"/>
          <w:lang w:val="en-US"/>
        </w:rPr>
      </w:pPr>
      <w:r w:rsidRPr="00A04969">
        <w:rPr>
          <w:rStyle w:val="FootnoteReference"/>
          <w:sz w:val="20"/>
          <w:szCs w:val="20"/>
        </w:rPr>
        <w:footnoteRef/>
      </w:r>
      <w:r w:rsidRPr="00A04969">
        <w:rPr>
          <w:sz w:val="20"/>
          <w:szCs w:val="20"/>
        </w:rPr>
        <w:t xml:space="preserve"> </w:t>
      </w:r>
      <w:proofErr w:type="gramStart"/>
      <w:r w:rsidRPr="00A04969">
        <w:rPr>
          <w:sz w:val="20"/>
          <w:szCs w:val="20"/>
        </w:rPr>
        <w:t xml:space="preserve">WWF Principles, </w:t>
      </w:r>
      <w:r w:rsidRPr="00A04969">
        <w:rPr>
          <w:i/>
          <w:sz w:val="20"/>
          <w:szCs w:val="20"/>
        </w:rPr>
        <w:t>supra</w:t>
      </w:r>
      <w:r w:rsidRPr="00A04969">
        <w:rPr>
          <w:sz w:val="20"/>
          <w:szCs w:val="20"/>
        </w:rPr>
        <w:t xml:space="preserve"> n. </w:t>
      </w:r>
      <w:r w:rsidRPr="00A04969">
        <w:rPr>
          <w:sz w:val="20"/>
          <w:szCs w:val="20"/>
        </w:rPr>
        <w:fldChar w:fldCharType="begin"/>
      </w:r>
      <w:r w:rsidRPr="00A04969">
        <w:rPr>
          <w:sz w:val="20"/>
          <w:szCs w:val="20"/>
        </w:rPr>
        <w:instrText xml:space="preserve"> NOTEREF _Ref334083266 \h </w:instrText>
      </w:r>
      <w:r w:rsidRPr="00A04969">
        <w:rPr>
          <w:sz w:val="20"/>
          <w:szCs w:val="20"/>
        </w:rPr>
      </w:r>
      <w:r w:rsidRPr="00A04969">
        <w:rPr>
          <w:sz w:val="20"/>
          <w:szCs w:val="20"/>
        </w:rPr>
        <w:fldChar w:fldCharType="separate"/>
      </w:r>
      <w:r>
        <w:rPr>
          <w:sz w:val="20"/>
          <w:szCs w:val="20"/>
        </w:rPr>
        <w:t>58</w:t>
      </w:r>
      <w:r w:rsidRPr="00A04969">
        <w:rPr>
          <w:sz w:val="20"/>
          <w:szCs w:val="20"/>
        </w:rPr>
        <w:fldChar w:fldCharType="end"/>
      </w:r>
      <w:r w:rsidRPr="00A04969">
        <w:rPr>
          <w:sz w:val="20"/>
          <w:szCs w:val="20"/>
        </w:rPr>
        <w:t xml:space="preserve"> at 5.</w:t>
      </w:r>
      <w:proofErr w:type="gramEnd"/>
    </w:p>
  </w:footnote>
  <w:footnote w:id="279">
    <w:p w14:paraId="6E8098FB" w14:textId="2F6FD506"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proofErr w:type="gramStart"/>
      <w:r w:rsidRPr="00A04969">
        <w:rPr>
          <w:rFonts w:ascii="Times New Roman" w:hAnsi="Times New Roman" w:cs="Times New Roman"/>
          <w:sz w:val="20"/>
          <w:szCs w:val="20"/>
        </w:rPr>
        <w:t>INAC Guidelines</w:t>
      </w:r>
      <w:r w:rsidRPr="00A04969">
        <w:rPr>
          <w:rFonts w:ascii="Times New Roman" w:hAnsi="Times New Roman" w:cs="Times New Roman"/>
          <w:i/>
          <w:sz w:val="20"/>
          <w:szCs w:val="20"/>
        </w:rPr>
        <w:t xml:space="preserve"> supra</w:t>
      </w:r>
      <w:r w:rsidRPr="00A04969">
        <w:rPr>
          <w:rFonts w:ascii="Times New Roman" w:hAnsi="Times New Roman" w:cs="Times New Roman"/>
          <w:sz w:val="20"/>
          <w:szCs w:val="20"/>
        </w:rPr>
        <w:t xml:space="preserve"> n. </w:t>
      </w:r>
      <w:r w:rsidRPr="00A04969">
        <w:rPr>
          <w:rFonts w:ascii="Times New Roman" w:hAnsi="Times New Roman" w:cs="Times New Roman"/>
          <w:sz w:val="20"/>
          <w:szCs w:val="20"/>
        </w:rPr>
        <w:fldChar w:fldCharType="begin"/>
      </w:r>
      <w:r w:rsidRPr="00A04969">
        <w:rPr>
          <w:rFonts w:ascii="Times New Roman" w:hAnsi="Times New Roman" w:cs="Times New Roman"/>
          <w:sz w:val="20"/>
          <w:szCs w:val="20"/>
        </w:rPr>
        <w:instrText xml:space="preserve"> NOTEREF _Ref334080771 \h </w:instrText>
      </w:r>
      <w:r w:rsidRPr="00A04969">
        <w:rPr>
          <w:rFonts w:ascii="Times New Roman" w:hAnsi="Times New Roman" w:cs="Times New Roman"/>
          <w:sz w:val="20"/>
          <w:szCs w:val="20"/>
        </w:rPr>
      </w:r>
      <w:r w:rsidRPr="00A04969">
        <w:rPr>
          <w:rFonts w:ascii="Times New Roman" w:hAnsi="Times New Roman" w:cs="Times New Roman"/>
          <w:sz w:val="20"/>
          <w:szCs w:val="20"/>
        </w:rPr>
        <w:fldChar w:fldCharType="separate"/>
      </w:r>
      <w:r>
        <w:rPr>
          <w:rFonts w:ascii="Times New Roman" w:hAnsi="Times New Roman" w:cs="Times New Roman"/>
          <w:sz w:val="20"/>
          <w:szCs w:val="20"/>
        </w:rPr>
        <w:t>26</w:t>
      </w:r>
      <w:r w:rsidRPr="00A04969">
        <w:rPr>
          <w:rFonts w:ascii="Times New Roman" w:hAnsi="Times New Roman" w:cs="Times New Roman"/>
          <w:sz w:val="20"/>
          <w:szCs w:val="20"/>
        </w:rPr>
        <w:fldChar w:fldCharType="end"/>
      </w:r>
      <w:r w:rsidRPr="00A04969">
        <w:rPr>
          <w:rFonts w:ascii="Times New Roman" w:hAnsi="Times New Roman" w:cs="Times New Roman"/>
          <w:sz w:val="20"/>
          <w:szCs w:val="20"/>
        </w:rPr>
        <w:t>.</w:t>
      </w:r>
      <w:proofErr w:type="gramEnd"/>
    </w:p>
  </w:footnote>
  <w:footnote w:id="280">
    <w:p w14:paraId="6E78C57E" w14:textId="77777777" w:rsidR="00D43BBB" w:rsidRPr="00A04969" w:rsidRDefault="00D43BBB" w:rsidP="005E3F8E">
      <w:pPr>
        <w:rPr>
          <w:rFonts w:eastAsia="Times New Roman"/>
          <w:color w:val="000000"/>
          <w:sz w:val="20"/>
          <w:szCs w:val="20"/>
          <w:lang w:val="en-US"/>
        </w:rPr>
      </w:pPr>
      <w:r w:rsidRPr="00A04969">
        <w:rPr>
          <w:rStyle w:val="FootnoteReference"/>
          <w:sz w:val="20"/>
          <w:szCs w:val="20"/>
        </w:rPr>
        <w:footnoteRef/>
      </w:r>
      <w:r w:rsidRPr="00A04969">
        <w:rPr>
          <w:sz w:val="20"/>
          <w:szCs w:val="20"/>
        </w:rPr>
        <w:t xml:space="preserve"> </w:t>
      </w:r>
      <w:proofErr w:type="gramStart"/>
      <w:r w:rsidRPr="00A04969">
        <w:rPr>
          <w:rFonts w:eastAsia="Times New Roman"/>
          <w:color w:val="000000"/>
          <w:sz w:val="20"/>
          <w:szCs w:val="20"/>
          <w:lang w:val="en-US"/>
        </w:rPr>
        <w:t xml:space="preserve">SDWG Mining Guide, </w:t>
      </w:r>
      <w:r w:rsidRPr="00A04969">
        <w:rPr>
          <w:rFonts w:eastAsia="Times New Roman"/>
          <w:i/>
          <w:color w:val="000000"/>
          <w:sz w:val="20"/>
          <w:szCs w:val="20"/>
        </w:rPr>
        <w:t>supra</w:t>
      </w:r>
      <w:r w:rsidRPr="00A04969">
        <w:rPr>
          <w:rFonts w:eastAsia="Times New Roman"/>
          <w:color w:val="000000"/>
          <w:sz w:val="20"/>
          <w:szCs w:val="20"/>
        </w:rPr>
        <w:t xml:space="preserve"> n. </w:t>
      </w:r>
      <w:r w:rsidRPr="00A04969">
        <w:rPr>
          <w:rFonts w:eastAsia="Times New Roman"/>
          <w:color w:val="000000"/>
          <w:sz w:val="20"/>
          <w:szCs w:val="20"/>
        </w:rPr>
        <w:fldChar w:fldCharType="begin"/>
      </w:r>
      <w:r w:rsidRPr="00A04969">
        <w:rPr>
          <w:rFonts w:eastAsia="Times New Roman"/>
          <w:color w:val="000000"/>
          <w:sz w:val="20"/>
          <w:szCs w:val="20"/>
        </w:rPr>
        <w:instrText xml:space="preserve"> NOTEREF _Ref334082904 \h </w:instrText>
      </w:r>
      <w:r w:rsidRPr="00A04969">
        <w:rPr>
          <w:rFonts w:eastAsia="Times New Roman"/>
          <w:color w:val="000000"/>
          <w:sz w:val="20"/>
          <w:szCs w:val="20"/>
        </w:rPr>
      </w:r>
      <w:r w:rsidRPr="00A04969">
        <w:rPr>
          <w:rFonts w:eastAsia="Times New Roman"/>
          <w:color w:val="000000"/>
          <w:sz w:val="20"/>
          <w:szCs w:val="20"/>
        </w:rPr>
        <w:fldChar w:fldCharType="separate"/>
      </w:r>
      <w:r>
        <w:rPr>
          <w:rFonts w:eastAsia="Times New Roman"/>
          <w:color w:val="000000"/>
          <w:sz w:val="20"/>
          <w:szCs w:val="20"/>
        </w:rPr>
        <w:t>38</w:t>
      </w:r>
      <w:r w:rsidRPr="00A04969">
        <w:rPr>
          <w:rFonts w:eastAsia="Times New Roman"/>
          <w:color w:val="000000"/>
          <w:sz w:val="20"/>
          <w:szCs w:val="20"/>
        </w:rPr>
        <w:fldChar w:fldCharType="end"/>
      </w:r>
      <w:r w:rsidRPr="00A04969">
        <w:rPr>
          <w:rFonts w:eastAsia="Times New Roman"/>
          <w:color w:val="000000"/>
          <w:sz w:val="20"/>
          <w:szCs w:val="20"/>
          <w:lang w:val="en-US"/>
        </w:rPr>
        <w:t>.</w:t>
      </w:r>
      <w:proofErr w:type="gramEnd"/>
    </w:p>
  </w:footnote>
  <w:footnote w:id="281">
    <w:p w14:paraId="1498BB85" w14:textId="77777777" w:rsidR="00D43BBB" w:rsidRPr="00A04969" w:rsidRDefault="00D43BBB" w:rsidP="000B5B24">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ICC Arctic Policy, </w:t>
      </w:r>
      <w:r w:rsidRPr="00A04969">
        <w:rPr>
          <w:rFonts w:ascii="Times New Roman" w:hAnsi="Times New Roman" w:cs="Times New Roman"/>
          <w:i/>
          <w:sz w:val="20"/>
          <w:szCs w:val="20"/>
        </w:rPr>
        <w:t>supra</w:t>
      </w:r>
      <w:r w:rsidRPr="00A04969">
        <w:rPr>
          <w:rFonts w:ascii="Times New Roman" w:hAnsi="Times New Roman" w:cs="Times New Roman"/>
          <w:sz w:val="20"/>
          <w:szCs w:val="20"/>
        </w:rPr>
        <w:t xml:space="preserve"> n. </w:t>
      </w:r>
      <w:r w:rsidRPr="00A04969">
        <w:rPr>
          <w:rFonts w:ascii="Times New Roman" w:hAnsi="Times New Roman" w:cs="Times New Roman"/>
          <w:sz w:val="20"/>
          <w:szCs w:val="20"/>
        </w:rPr>
        <w:fldChar w:fldCharType="begin"/>
      </w:r>
      <w:r w:rsidRPr="00A04969">
        <w:rPr>
          <w:rFonts w:ascii="Times New Roman" w:hAnsi="Times New Roman" w:cs="Times New Roman"/>
          <w:sz w:val="20"/>
          <w:szCs w:val="20"/>
        </w:rPr>
        <w:instrText xml:space="preserve"> NOTEREF _Ref333385533 </w:instrText>
      </w:r>
      <w:r w:rsidRPr="00A04969">
        <w:rPr>
          <w:rFonts w:ascii="Times New Roman" w:hAnsi="Times New Roman" w:cs="Times New Roman"/>
          <w:sz w:val="20"/>
          <w:szCs w:val="20"/>
        </w:rPr>
        <w:fldChar w:fldCharType="separate"/>
      </w:r>
      <w:r>
        <w:rPr>
          <w:rFonts w:ascii="Times New Roman" w:hAnsi="Times New Roman" w:cs="Times New Roman"/>
          <w:sz w:val="20"/>
          <w:szCs w:val="20"/>
        </w:rPr>
        <w:t>92</w:t>
      </w:r>
      <w:r w:rsidRPr="00A04969">
        <w:rPr>
          <w:rFonts w:ascii="Times New Roman" w:hAnsi="Times New Roman" w:cs="Times New Roman"/>
          <w:sz w:val="20"/>
          <w:szCs w:val="20"/>
        </w:rPr>
        <w:fldChar w:fldCharType="end"/>
      </w:r>
      <w:r w:rsidRPr="00A04969">
        <w:rPr>
          <w:rFonts w:ascii="Times New Roman" w:hAnsi="Times New Roman" w:cs="Times New Roman"/>
          <w:sz w:val="20"/>
          <w:szCs w:val="20"/>
        </w:rPr>
        <w:t xml:space="preserve">; Bristol Bay Native Association Policy Guidelines </w:t>
      </w:r>
      <w:proofErr w:type="gramStart"/>
      <w:r w:rsidRPr="00A04969">
        <w:rPr>
          <w:rFonts w:ascii="Times New Roman" w:hAnsi="Times New Roman" w:cs="Times New Roman"/>
          <w:sz w:val="20"/>
          <w:szCs w:val="20"/>
        </w:rPr>
        <w:t>For Research In</w:t>
      </w:r>
      <w:proofErr w:type="gramEnd"/>
      <w:r w:rsidRPr="00A04969">
        <w:rPr>
          <w:rFonts w:ascii="Times New Roman" w:hAnsi="Times New Roman" w:cs="Times New Roman"/>
          <w:sz w:val="20"/>
          <w:szCs w:val="20"/>
        </w:rPr>
        <w:t xml:space="preserve"> Bristol Bay.</w:t>
      </w:r>
    </w:p>
  </w:footnote>
  <w:footnote w:id="282">
    <w:p w14:paraId="234739F5" w14:textId="3753E37D"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eastAsia="Times New Roman" w:hAnsi="Times New Roman" w:cs="Times New Roman"/>
          <w:color w:val="000000"/>
          <w:sz w:val="20"/>
          <w:szCs w:val="20"/>
        </w:rPr>
        <w:t xml:space="preserve"> </w:t>
      </w:r>
      <w:proofErr w:type="gramStart"/>
      <w:r w:rsidRPr="00A04969">
        <w:rPr>
          <w:rFonts w:ascii="Times New Roman" w:eastAsia="Times New Roman" w:hAnsi="Times New Roman" w:cs="Times New Roman"/>
          <w:color w:val="000000"/>
          <w:sz w:val="20"/>
          <w:szCs w:val="20"/>
        </w:rPr>
        <w:t xml:space="preserve">IARPC Principles, </w:t>
      </w:r>
      <w:r w:rsidRPr="00A04969">
        <w:rPr>
          <w:rFonts w:ascii="Times New Roman" w:eastAsia="Times New Roman" w:hAnsi="Times New Roman" w:cs="Times New Roman"/>
          <w:i/>
          <w:color w:val="000000"/>
          <w:sz w:val="20"/>
          <w:szCs w:val="20"/>
        </w:rPr>
        <w:t>supra</w:t>
      </w:r>
      <w:r w:rsidRPr="00A04969">
        <w:rPr>
          <w:rFonts w:ascii="Times New Roman" w:eastAsia="Times New Roman" w:hAnsi="Times New Roman" w:cs="Times New Roman"/>
          <w:color w:val="000000"/>
          <w:sz w:val="20"/>
          <w:szCs w:val="20"/>
        </w:rPr>
        <w:t xml:space="preserve"> n. </w:t>
      </w:r>
      <w:r w:rsidRPr="00A04969">
        <w:rPr>
          <w:rFonts w:ascii="Times New Roman" w:eastAsia="Times New Roman" w:hAnsi="Times New Roman" w:cs="Times New Roman"/>
          <w:color w:val="000000"/>
          <w:sz w:val="20"/>
          <w:szCs w:val="20"/>
        </w:rPr>
        <w:fldChar w:fldCharType="begin"/>
      </w:r>
      <w:r w:rsidRPr="00A04969">
        <w:rPr>
          <w:rFonts w:ascii="Times New Roman" w:eastAsia="Times New Roman" w:hAnsi="Times New Roman" w:cs="Times New Roman"/>
          <w:color w:val="000000"/>
          <w:sz w:val="20"/>
          <w:szCs w:val="20"/>
        </w:rPr>
        <w:instrText xml:space="preserve"> NOTEREF _Ref334083103 \h </w:instrText>
      </w:r>
      <w:r w:rsidRPr="00A04969">
        <w:rPr>
          <w:rFonts w:ascii="Times New Roman" w:eastAsia="Times New Roman" w:hAnsi="Times New Roman" w:cs="Times New Roman"/>
          <w:color w:val="000000"/>
          <w:sz w:val="20"/>
          <w:szCs w:val="20"/>
        </w:rPr>
      </w:r>
      <w:r w:rsidRPr="00A04969">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color w:val="000000"/>
          <w:sz w:val="20"/>
          <w:szCs w:val="20"/>
        </w:rPr>
        <w:t>57</w:t>
      </w:r>
      <w:r w:rsidRPr="00A04969">
        <w:rPr>
          <w:rFonts w:ascii="Times New Roman" w:eastAsia="Times New Roman" w:hAnsi="Times New Roman" w:cs="Times New Roman"/>
          <w:color w:val="000000"/>
          <w:sz w:val="20"/>
          <w:szCs w:val="20"/>
        </w:rPr>
        <w:fldChar w:fldCharType="end"/>
      </w:r>
      <w:r w:rsidRPr="00A04969">
        <w:rPr>
          <w:rFonts w:ascii="Times New Roman" w:eastAsia="Times New Roman" w:hAnsi="Times New Roman" w:cs="Times New Roman"/>
          <w:color w:val="000000"/>
          <w:sz w:val="20"/>
          <w:szCs w:val="20"/>
        </w:rPr>
        <w:t>;</w:t>
      </w:r>
      <w:r w:rsidRPr="00A04969">
        <w:rPr>
          <w:rFonts w:ascii="Times New Roman" w:hAnsi="Times New Roman" w:cs="Times New Roman"/>
          <w:sz w:val="20"/>
          <w:szCs w:val="20"/>
        </w:rPr>
        <w:t xml:space="preserve"> ICC Arctic Policy, </w:t>
      </w:r>
      <w:r w:rsidRPr="00A04969">
        <w:rPr>
          <w:rFonts w:ascii="Times New Roman" w:hAnsi="Times New Roman" w:cs="Times New Roman"/>
          <w:i/>
          <w:sz w:val="20"/>
          <w:szCs w:val="20"/>
        </w:rPr>
        <w:t>supra</w:t>
      </w:r>
      <w:r w:rsidRPr="00A04969">
        <w:rPr>
          <w:rFonts w:ascii="Times New Roman" w:hAnsi="Times New Roman" w:cs="Times New Roman"/>
          <w:sz w:val="20"/>
          <w:szCs w:val="20"/>
        </w:rPr>
        <w:t xml:space="preserve"> n. </w:t>
      </w:r>
      <w:r w:rsidRPr="00A04969">
        <w:rPr>
          <w:rFonts w:ascii="Times New Roman" w:hAnsi="Times New Roman" w:cs="Times New Roman"/>
          <w:sz w:val="20"/>
          <w:szCs w:val="20"/>
        </w:rPr>
        <w:fldChar w:fldCharType="begin"/>
      </w:r>
      <w:r w:rsidRPr="00A04969">
        <w:rPr>
          <w:rFonts w:ascii="Times New Roman" w:hAnsi="Times New Roman" w:cs="Times New Roman"/>
          <w:sz w:val="20"/>
          <w:szCs w:val="20"/>
        </w:rPr>
        <w:instrText xml:space="preserve"> NOTEREF _Ref333385533 </w:instrText>
      </w:r>
      <w:r w:rsidRPr="00A04969">
        <w:rPr>
          <w:rFonts w:ascii="Times New Roman" w:hAnsi="Times New Roman" w:cs="Times New Roman"/>
          <w:sz w:val="20"/>
          <w:szCs w:val="20"/>
        </w:rPr>
        <w:fldChar w:fldCharType="separate"/>
      </w:r>
      <w:r>
        <w:rPr>
          <w:rFonts w:ascii="Times New Roman" w:hAnsi="Times New Roman" w:cs="Times New Roman"/>
          <w:sz w:val="20"/>
          <w:szCs w:val="20"/>
        </w:rPr>
        <w:t>92</w:t>
      </w:r>
      <w:r w:rsidRPr="00A04969">
        <w:rPr>
          <w:rFonts w:ascii="Times New Roman" w:hAnsi="Times New Roman" w:cs="Times New Roman"/>
          <w:sz w:val="20"/>
          <w:szCs w:val="20"/>
        </w:rPr>
        <w:fldChar w:fldCharType="end"/>
      </w:r>
      <w:r w:rsidRPr="00A04969">
        <w:rPr>
          <w:rFonts w:ascii="Times New Roman" w:hAnsi="Times New Roman" w:cs="Times New Roman"/>
          <w:sz w:val="20"/>
          <w:szCs w:val="20"/>
        </w:rPr>
        <w:t>.</w:t>
      </w:r>
      <w:proofErr w:type="gramEnd"/>
    </w:p>
  </w:footnote>
  <w:footnote w:id="283">
    <w:p w14:paraId="200AA5BD" w14:textId="6F6F589E"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Bristol Bay Native Association Policy Guidelines </w:t>
      </w:r>
      <w:proofErr w:type="gramStart"/>
      <w:r w:rsidRPr="00A04969">
        <w:rPr>
          <w:rFonts w:ascii="Times New Roman" w:hAnsi="Times New Roman" w:cs="Times New Roman"/>
          <w:sz w:val="20"/>
          <w:szCs w:val="20"/>
        </w:rPr>
        <w:t>For</w:t>
      </w:r>
      <w:proofErr w:type="gramEnd"/>
      <w:r w:rsidRPr="00A04969">
        <w:rPr>
          <w:rFonts w:ascii="Times New Roman" w:hAnsi="Times New Roman" w:cs="Times New Roman"/>
          <w:sz w:val="20"/>
          <w:szCs w:val="20"/>
        </w:rPr>
        <w:t xml:space="preserve"> Research In Bristol Bay.</w:t>
      </w:r>
    </w:p>
  </w:footnote>
  <w:footnote w:id="284">
    <w:p w14:paraId="763E22D5" w14:textId="3758D9D9" w:rsidR="00D43BBB" w:rsidRPr="00A04969" w:rsidRDefault="00D43BBB" w:rsidP="002420B7">
      <w:pPr>
        <w:widowControl w:val="0"/>
        <w:autoSpaceDE w:val="0"/>
        <w:autoSpaceDN w:val="0"/>
        <w:adjustRightInd w:val="0"/>
        <w:rPr>
          <w:sz w:val="20"/>
          <w:szCs w:val="20"/>
          <w:lang w:val="en-US"/>
        </w:rPr>
      </w:pPr>
      <w:r w:rsidRPr="00A04969">
        <w:rPr>
          <w:rStyle w:val="FootnoteReference"/>
          <w:sz w:val="20"/>
          <w:szCs w:val="20"/>
        </w:rPr>
        <w:footnoteRef/>
      </w:r>
      <w:r w:rsidRPr="00A04969">
        <w:rPr>
          <w:sz w:val="20"/>
          <w:szCs w:val="20"/>
        </w:rPr>
        <w:t xml:space="preserve"> </w:t>
      </w:r>
      <w:proofErr w:type="gramStart"/>
      <w:r w:rsidRPr="00A04969">
        <w:rPr>
          <w:sz w:val="20"/>
          <w:szCs w:val="20"/>
        </w:rPr>
        <w:t xml:space="preserve">AOR, supra n. </w:t>
      </w:r>
      <w:r w:rsidRPr="00A04969">
        <w:rPr>
          <w:sz w:val="20"/>
          <w:szCs w:val="20"/>
        </w:rPr>
        <w:fldChar w:fldCharType="begin"/>
      </w:r>
      <w:r w:rsidRPr="00A04969">
        <w:rPr>
          <w:sz w:val="20"/>
          <w:szCs w:val="20"/>
        </w:rPr>
        <w:instrText xml:space="preserve"> NOTEREF _Ref334006431 \h </w:instrText>
      </w:r>
      <w:r w:rsidRPr="00A04969">
        <w:rPr>
          <w:sz w:val="20"/>
          <w:szCs w:val="20"/>
        </w:rPr>
      </w:r>
      <w:r w:rsidRPr="00A04969">
        <w:rPr>
          <w:sz w:val="20"/>
          <w:szCs w:val="20"/>
        </w:rPr>
        <w:fldChar w:fldCharType="separate"/>
      </w:r>
      <w:r>
        <w:rPr>
          <w:sz w:val="20"/>
          <w:szCs w:val="20"/>
        </w:rPr>
        <w:t>190</w:t>
      </w:r>
      <w:r w:rsidRPr="00A04969">
        <w:rPr>
          <w:sz w:val="20"/>
          <w:szCs w:val="20"/>
        </w:rPr>
        <w:fldChar w:fldCharType="end"/>
      </w:r>
      <w:r w:rsidRPr="00A04969">
        <w:rPr>
          <w:sz w:val="20"/>
          <w:szCs w:val="20"/>
        </w:rPr>
        <w:t xml:space="preserve"> at 19 (discussing ICC and SDWG </w:t>
      </w:r>
      <w:r w:rsidRPr="00A04969">
        <w:rPr>
          <w:sz w:val="20"/>
          <w:szCs w:val="20"/>
          <w:lang w:val="en-US"/>
        </w:rPr>
        <w:t>Circumpolar-Wide Inuit Response to AMSA).</w:t>
      </w:r>
      <w:proofErr w:type="gramEnd"/>
      <w:r w:rsidRPr="00A04969">
        <w:rPr>
          <w:sz w:val="20"/>
          <w:szCs w:val="20"/>
          <w:lang w:val="en-US"/>
        </w:rPr>
        <w:t xml:space="preserve"> </w:t>
      </w:r>
    </w:p>
  </w:footnote>
  <w:footnote w:id="285">
    <w:p w14:paraId="4A19C7D0" w14:textId="1E86A227" w:rsidR="00D43BBB" w:rsidRPr="00A04969" w:rsidRDefault="00D43BBB" w:rsidP="002420B7">
      <w:pPr>
        <w:widowControl w:val="0"/>
        <w:autoSpaceDE w:val="0"/>
        <w:autoSpaceDN w:val="0"/>
        <w:adjustRightInd w:val="0"/>
        <w:rPr>
          <w:sz w:val="20"/>
          <w:szCs w:val="20"/>
          <w:lang w:val="en-US"/>
        </w:rPr>
      </w:pPr>
      <w:r w:rsidRPr="00A04969">
        <w:rPr>
          <w:rStyle w:val="FootnoteReference"/>
          <w:sz w:val="20"/>
          <w:szCs w:val="20"/>
        </w:rPr>
        <w:footnoteRef/>
      </w:r>
      <w:r w:rsidRPr="00A04969">
        <w:rPr>
          <w:sz w:val="20"/>
          <w:szCs w:val="20"/>
        </w:rPr>
        <w:t xml:space="preserve"> </w:t>
      </w:r>
      <w:proofErr w:type="gramStart"/>
      <w:r w:rsidRPr="00A04969">
        <w:rPr>
          <w:sz w:val="20"/>
          <w:szCs w:val="20"/>
        </w:rPr>
        <w:t xml:space="preserve">ELI Marine Research, </w:t>
      </w:r>
      <w:r w:rsidRPr="00A04969">
        <w:rPr>
          <w:i/>
          <w:sz w:val="20"/>
          <w:szCs w:val="20"/>
        </w:rPr>
        <w:t>supra</w:t>
      </w:r>
      <w:r w:rsidRPr="00A04969">
        <w:rPr>
          <w:sz w:val="20"/>
          <w:szCs w:val="20"/>
        </w:rPr>
        <w:t xml:space="preserve"> n. </w:t>
      </w:r>
      <w:r w:rsidRPr="00A04969">
        <w:rPr>
          <w:sz w:val="20"/>
          <w:szCs w:val="20"/>
        </w:rPr>
        <w:fldChar w:fldCharType="begin"/>
      </w:r>
      <w:r w:rsidRPr="00A04969">
        <w:rPr>
          <w:sz w:val="20"/>
          <w:szCs w:val="20"/>
        </w:rPr>
        <w:instrText xml:space="preserve"> NOTEREF _Ref334007126 \h </w:instrText>
      </w:r>
      <w:r w:rsidRPr="00A04969">
        <w:rPr>
          <w:sz w:val="20"/>
          <w:szCs w:val="20"/>
        </w:rPr>
      </w:r>
      <w:r w:rsidRPr="00A04969">
        <w:rPr>
          <w:sz w:val="20"/>
          <w:szCs w:val="20"/>
        </w:rPr>
        <w:fldChar w:fldCharType="separate"/>
      </w:r>
      <w:r>
        <w:rPr>
          <w:sz w:val="20"/>
          <w:szCs w:val="20"/>
        </w:rPr>
        <w:t>203</w:t>
      </w:r>
      <w:r w:rsidRPr="00A04969">
        <w:rPr>
          <w:sz w:val="20"/>
          <w:szCs w:val="20"/>
        </w:rPr>
        <w:fldChar w:fldCharType="end"/>
      </w:r>
      <w:r w:rsidRPr="00A04969">
        <w:rPr>
          <w:sz w:val="20"/>
          <w:szCs w:val="20"/>
        </w:rPr>
        <w:t xml:space="preserve"> at 43.</w:t>
      </w:r>
      <w:proofErr w:type="gramEnd"/>
    </w:p>
  </w:footnote>
  <w:footnote w:id="286">
    <w:p w14:paraId="63E4DF84" w14:textId="2235FB5C" w:rsidR="00D43BBB" w:rsidRPr="00A04969" w:rsidRDefault="00D43BBB" w:rsidP="002420B7">
      <w:pPr>
        <w:widowControl w:val="0"/>
        <w:autoSpaceDE w:val="0"/>
        <w:autoSpaceDN w:val="0"/>
        <w:adjustRightInd w:val="0"/>
        <w:rPr>
          <w:sz w:val="20"/>
          <w:szCs w:val="20"/>
          <w:lang w:val="en-US"/>
        </w:rPr>
      </w:pPr>
      <w:r w:rsidRPr="00A04969">
        <w:rPr>
          <w:rStyle w:val="FootnoteReference"/>
          <w:sz w:val="20"/>
          <w:szCs w:val="20"/>
        </w:rPr>
        <w:footnoteRef/>
      </w:r>
      <w:r w:rsidRPr="00A04969">
        <w:rPr>
          <w:sz w:val="20"/>
          <w:szCs w:val="20"/>
        </w:rPr>
        <w:t xml:space="preserve"> </w:t>
      </w:r>
      <w:r w:rsidRPr="00A04969">
        <w:rPr>
          <w:bCs/>
          <w:position w:val="2"/>
          <w:sz w:val="20"/>
          <w:szCs w:val="20"/>
          <w:lang w:val="en-US"/>
        </w:rPr>
        <w:t>Interim</w:t>
      </w:r>
      <w:r w:rsidRPr="00A04969">
        <w:rPr>
          <w:bCs/>
          <w:color w:val="FFFFFF"/>
          <w:sz w:val="20"/>
          <w:szCs w:val="20"/>
          <w:lang w:val="en-US"/>
        </w:rPr>
        <w:t xml:space="preserve"> </w:t>
      </w:r>
      <w:r w:rsidRPr="00A04969">
        <w:rPr>
          <w:bCs/>
          <w:position w:val="2"/>
          <w:sz w:val="20"/>
          <w:szCs w:val="20"/>
          <w:lang w:val="en-US"/>
        </w:rPr>
        <w:t>Tripartite</w:t>
      </w:r>
      <w:r w:rsidRPr="00A04969">
        <w:rPr>
          <w:bCs/>
          <w:color w:val="FFFFFF"/>
          <w:sz w:val="20"/>
          <w:szCs w:val="20"/>
          <w:lang w:val="en-US"/>
        </w:rPr>
        <w:t xml:space="preserve"> </w:t>
      </w:r>
      <w:r w:rsidRPr="00A04969">
        <w:rPr>
          <w:bCs/>
          <w:position w:val="2"/>
          <w:sz w:val="20"/>
          <w:szCs w:val="20"/>
          <w:lang w:val="en-US"/>
        </w:rPr>
        <w:t>Agreement</w:t>
      </w:r>
      <w:r w:rsidRPr="00A04969">
        <w:rPr>
          <w:bCs/>
          <w:color w:val="FFFFFF"/>
          <w:sz w:val="20"/>
          <w:szCs w:val="20"/>
          <w:lang w:val="en-US"/>
        </w:rPr>
        <w:t xml:space="preserve"> </w:t>
      </w:r>
      <w:r w:rsidRPr="00A04969">
        <w:rPr>
          <w:bCs/>
          <w:position w:val="2"/>
          <w:sz w:val="20"/>
          <w:szCs w:val="20"/>
          <w:lang w:val="en-US"/>
        </w:rPr>
        <w:t>on</w:t>
      </w:r>
      <w:r w:rsidRPr="00A04969">
        <w:rPr>
          <w:bCs/>
          <w:color w:val="FFFFFF"/>
          <w:sz w:val="20"/>
          <w:szCs w:val="20"/>
          <w:lang w:val="en-US"/>
        </w:rPr>
        <w:t xml:space="preserve"> </w:t>
      </w:r>
      <w:r w:rsidRPr="00A04969">
        <w:rPr>
          <w:bCs/>
          <w:position w:val="2"/>
          <w:sz w:val="20"/>
          <w:szCs w:val="20"/>
          <w:lang w:val="en-US"/>
        </w:rPr>
        <w:t>Mi’gmaq</w:t>
      </w:r>
      <w:r w:rsidRPr="00A04969">
        <w:rPr>
          <w:bCs/>
          <w:color w:val="FFFFFF"/>
          <w:sz w:val="20"/>
          <w:szCs w:val="20"/>
          <w:lang w:val="en-US"/>
        </w:rPr>
        <w:t xml:space="preserve"> </w:t>
      </w:r>
      <w:r w:rsidRPr="00A04969">
        <w:rPr>
          <w:bCs/>
          <w:position w:val="2"/>
          <w:sz w:val="20"/>
          <w:szCs w:val="20"/>
          <w:lang w:val="en-US"/>
        </w:rPr>
        <w:t>Consultation</w:t>
      </w:r>
      <w:r w:rsidRPr="00A04969">
        <w:rPr>
          <w:bCs/>
          <w:color w:val="FFFFFF"/>
          <w:sz w:val="20"/>
          <w:szCs w:val="20"/>
          <w:lang w:val="en-US"/>
        </w:rPr>
        <w:t xml:space="preserve"> </w:t>
      </w:r>
      <w:r w:rsidRPr="00A04969">
        <w:rPr>
          <w:bCs/>
          <w:position w:val="2"/>
          <w:sz w:val="20"/>
          <w:szCs w:val="20"/>
          <w:lang w:val="en-US"/>
        </w:rPr>
        <w:t xml:space="preserve">and Accommodation </w:t>
      </w:r>
      <w:r w:rsidRPr="00A04969">
        <w:rPr>
          <w:sz w:val="20"/>
          <w:szCs w:val="20"/>
        </w:rPr>
        <w:t>¶¶ 26-28</w:t>
      </w:r>
      <w:r w:rsidRPr="00A04969">
        <w:rPr>
          <w:bCs/>
          <w:position w:val="2"/>
          <w:sz w:val="20"/>
          <w:szCs w:val="20"/>
          <w:lang w:val="en-US"/>
        </w:rPr>
        <w:t xml:space="preserve"> (2013).</w:t>
      </w:r>
    </w:p>
  </w:footnote>
  <w:footnote w:id="287">
    <w:p w14:paraId="5B2DAC30" w14:textId="12EE6DD5" w:rsidR="00D43BBB" w:rsidRPr="00A04969" w:rsidRDefault="00D43BBB" w:rsidP="002420B7">
      <w:pPr>
        <w:widowControl w:val="0"/>
        <w:autoSpaceDE w:val="0"/>
        <w:autoSpaceDN w:val="0"/>
        <w:adjustRightInd w:val="0"/>
        <w:rPr>
          <w:sz w:val="20"/>
          <w:szCs w:val="20"/>
          <w:lang w:val="en-US"/>
        </w:rPr>
      </w:pPr>
      <w:r w:rsidRPr="00A04969">
        <w:rPr>
          <w:rStyle w:val="FootnoteReference"/>
          <w:sz w:val="20"/>
          <w:szCs w:val="20"/>
        </w:rPr>
        <w:footnoteRef/>
      </w:r>
      <w:r w:rsidRPr="00A04969">
        <w:rPr>
          <w:sz w:val="20"/>
          <w:szCs w:val="20"/>
        </w:rPr>
        <w:t xml:space="preserve"> </w:t>
      </w:r>
      <w:proofErr w:type="gramStart"/>
      <w:r w:rsidRPr="00A04969">
        <w:rPr>
          <w:sz w:val="20"/>
          <w:szCs w:val="20"/>
        </w:rPr>
        <w:t xml:space="preserve">Fenge and Funston, </w:t>
      </w:r>
      <w:r w:rsidRPr="00A04969">
        <w:rPr>
          <w:i/>
          <w:sz w:val="20"/>
          <w:szCs w:val="20"/>
        </w:rPr>
        <w:t>supra</w:t>
      </w:r>
      <w:r w:rsidRPr="00A04969">
        <w:rPr>
          <w:sz w:val="20"/>
          <w:szCs w:val="20"/>
        </w:rPr>
        <w:t xml:space="preserve"> n. </w:t>
      </w:r>
      <w:r w:rsidRPr="00A04969">
        <w:rPr>
          <w:sz w:val="20"/>
          <w:szCs w:val="20"/>
        </w:rPr>
        <w:fldChar w:fldCharType="begin"/>
      </w:r>
      <w:r w:rsidRPr="00A04969">
        <w:rPr>
          <w:sz w:val="20"/>
          <w:szCs w:val="20"/>
        </w:rPr>
        <w:instrText xml:space="preserve"> NOTEREF _Ref334007187 \h </w:instrText>
      </w:r>
      <w:r w:rsidRPr="00A04969">
        <w:rPr>
          <w:sz w:val="20"/>
          <w:szCs w:val="20"/>
        </w:rPr>
      </w:r>
      <w:r w:rsidRPr="00A04969">
        <w:rPr>
          <w:sz w:val="20"/>
          <w:szCs w:val="20"/>
        </w:rPr>
        <w:fldChar w:fldCharType="separate"/>
      </w:r>
      <w:r>
        <w:rPr>
          <w:sz w:val="20"/>
          <w:szCs w:val="20"/>
        </w:rPr>
        <w:t>242</w:t>
      </w:r>
      <w:r w:rsidRPr="00A04969">
        <w:rPr>
          <w:sz w:val="20"/>
          <w:szCs w:val="20"/>
        </w:rPr>
        <w:fldChar w:fldCharType="end"/>
      </w:r>
      <w:r w:rsidRPr="00A04969">
        <w:rPr>
          <w:sz w:val="20"/>
          <w:szCs w:val="20"/>
        </w:rPr>
        <w:t xml:space="preserve"> </w:t>
      </w:r>
      <w:r w:rsidRPr="00A04969">
        <w:rPr>
          <w:bCs/>
          <w:sz w:val="20"/>
          <w:szCs w:val="20"/>
          <w:lang w:val="en-US"/>
        </w:rPr>
        <w:t>at 5.</w:t>
      </w:r>
      <w:proofErr w:type="gramEnd"/>
    </w:p>
  </w:footnote>
  <w:footnote w:id="288">
    <w:p w14:paraId="4BC1F2BD" w14:textId="3E352A78"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Arctic Biodiversity Assessment: Report for Policymakers at 22 (2013).</w:t>
      </w:r>
    </w:p>
  </w:footnote>
  <w:footnote w:id="289">
    <w:p w14:paraId="230765E9" w14:textId="221DA6C3"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SDWG IK, </w:t>
      </w:r>
      <w:r w:rsidRPr="00A04969">
        <w:rPr>
          <w:rFonts w:ascii="Times New Roman" w:hAnsi="Times New Roman" w:cs="Times New Roman"/>
          <w:i/>
          <w:sz w:val="20"/>
          <w:szCs w:val="20"/>
        </w:rPr>
        <w:t>supra</w:t>
      </w:r>
      <w:r w:rsidRPr="00A04969">
        <w:rPr>
          <w:rFonts w:ascii="Times New Roman" w:hAnsi="Times New Roman" w:cs="Times New Roman"/>
          <w:sz w:val="20"/>
          <w:szCs w:val="20"/>
        </w:rPr>
        <w:t xml:space="preserve">. n. </w:t>
      </w:r>
      <w:r w:rsidRPr="00A04969">
        <w:rPr>
          <w:rFonts w:ascii="Times New Roman" w:hAnsi="Times New Roman" w:cs="Times New Roman"/>
          <w:sz w:val="20"/>
          <w:szCs w:val="20"/>
        </w:rPr>
        <w:fldChar w:fldCharType="begin"/>
      </w:r>
      <w:r w:rsidRPr="00A04969">
        <w:rPr>
          <w:rFonts w:ascii="Times New Roman" w:hAnsi="Times New Roman" w:cs="Times New Roman"/>
          <w:sz w:val="20"/>
          <w:szCs w:val="20"/>
        </w:rPr>
        <w:instrText xml:space="preserve"> NOTEREF _Ref333994849 \h </w:instrText>
      </w:r>
      <w:r w:rsidRPr="00A04969">
        <w:rPr>
          <w:rFonts w:ascii="Times New Roman" w:hAnsi="Times New Roman" w:cs="Times New Roman"/>
          <w:sz w:val="20"/>
          <w:szCs w:val="20"/>
        </w:rPr>
      </w:r>
      <w:r w:rsidRPr="00A04969">
        <w:rPr>
          <w:rFonts w:ascii="Times New Roman" w:hAnsi="Times New Roman" w:cs="Times New Roman"/>
          <w:sz w:val="20"/>
          <w:szCs w:val="20"/>
        </w:rPr>
        <w:fldChar w:fldCharType="separate"/>
      </w:r>
      <w:r>
        <w:rPr>
          <w:rFonts w:ascii="Times New Roman" w:hAnsi="Times New Roman" w:cs="Times New Roman"/>
          <w:sz w:val="20"/>
          <w:szCs w:val="20"/>
        </w:rPr>
        <w:t>78</w:t>
      </w:r>
      <w:r w:rsidRPr="00A04969">
        <w:rPr>
          <w:rFonts w:ascii="Times New Roman" w:hAnsi="Times New Roman" w:cs="Times New Roman"/>
          <w:sz w:val="20"/>
          <w:szCs w:val="20"/>
        </w:rPr>
        <w:fldChar w:fldCharType="end"/>
      </w:r>
      <w:r w:rsidRPr="00A04969">
        <w:rPr>
          <w:rFonts w:ascii="Times New Roman" w:hAnsi="Times New Roman" w:cs="Times New Roman"/>
          <w:sz w:val="20"/>
          <w:szCs w:val="20"/>
        </w:rPr>
        <w:t>.</w:t>
      </w:r>
    </w:p>
  </w:footnote>
  <w:footnote w:id="290">
    <w:p w14:paraId="5679C87F" w14:textId="0D878307" w:rsidR="00D43BBB" w:rsidRPr="00A04969" w:rsidRDefault="00D43BBB" w:rsidP="002420B7">
      <w:pPr>
        <w:widowControl w:val="0"/>
        <w:autoSpaceDE w:val="0"/>
        <w:autoSpaceDN w:val="0"/>
        <w:adjustRightInd w:val="0"/>
        <w:rPr>
          <w:sz w:val="20"/>
          <w:szCs w:val="20"/>
        </w:rPr>
      </w:pPr>
      <w:r w:rsidRPr="00A04969">
        <w:rPr>
          <w:rStyle w:val="FootnoteReference"/>
          <w:sz w:val="20"/>
          <w:szCs w:val="20"/>
        </w:rPr>
        <w:footnoteRef/>
      </w:r>
      <w:r w:rsidRPr="00A04969">
        <w:rPr>
          <w:sz w:val="20"/>
          <w:szCs w:val="20"/>
        </w:rPr>
        <w:t xml:space="preserve"> National Congress of American Indians, </w:t>
      </w:r>
      <w:r w:rsidRPr="00A04969">
        <w:rPr>
          <w:iCs/>
          <w:sz w:val="20"/>
          <w:szCs w:val="20"/>
        </w:rPr>
        <w:t>Consultation with Tribal Nations: An Update on Implementation of Executive Order 13175</w:t>
      </w:r>
      <w:r w:rsidRPr="00A04969">
        <w:rPr>
          <w:sz w:val="20"/>
          <w:szCs w:val="20"/>
        </w:rPr>
        <w:t xml:space="preserve"> </w:t>
      </w:r>
      <w:r w:rsidRPr="00A04969">
        <w:rPr>
          <w:iCs/>
          <w:sz w:val="20"/>
          <w:szCs w:val="20"/>
        </w:rPr>
        <w:t>at</w:t>
      </w:r>
      <w:r w:rsidRPr="00A04969">
        <w:rPr>
          <w:i/>
          <w:iCs/>
          <w:sz w:val="20"/>
          <w:szCs w:val="20"/>
        </w:rPr>
        <w:t xml:space="preserve"> </w:t>
      </w:r>
      <w:r w:rsidRPr="00A04969">
        <w:rPr>
          <w:sz w:val="20"/>
          <w:szCs w:val="20"/>
        </w:rPr>
        <w:t>6-9 (Jan. 2012).</w:t>
      </w:r>
    </w:p>
  </w:footnote>
  <w:footnote w:id="291">
    <w:p w14:paraId="472A4476" w14:textId="25A8B8F9"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proofErr w:type="spellStart"/>
      <w:proofErr w:type="gramStart"/>
      <w:r w:rsidRPr="00A04969">
        <w:rPr>
          <w:rFonts w:ascii="Times New Roman" w:hAnsi="Times New Roman" w:cs="Times New Roman"/>
          <w:sz w:val="20"/>
          <w:szCs w:val="20"/>
        </w:rPr>
        <w:t>Hul’qumi’num</w:t>
      </w:r>
      <w:proofErr w:type="spellEnd"/>
      <w:r w:rsidRPr="00A04969">
        <w:rPr>
          <w:rFonts w:ascii="Times New Roman" w:hAnsi="Times New Roman" w:cs="Times New Roman"/>
          <w:sz w:val="20"/>
          <w:szCs w:val="20"/>
        </w:rPr>
        <w:t xml:space="preserve"> Consultation Policy, </w:t>
      </w:r>
      <w:r w:rsidRPr="00A04969">
        <w:rPr>
          <w:rFonts w:ascii="Times New Roman" w:hAnsi="Times New Roman" w:cs="Times New Roman"/>
          <w:i/>
          <w:sz w:val="20"/>
          <w:szCs w:val="20"/>
        </w:rPr>
        <w:t>supra</w:t>
      </w:r>
      <w:r w:rsidRPr="00A04969">
        <w:rPr>
          <w:rFonts w:ascii="Times New Roman" w:hAnsi="Times New Roman" w:cs="Times New Roman"/>
          <w:sz w:val="20"/>
          <w:szCs w:val="20"/>
        </w:rPr>
        <w:t xml:space="preserve"> n.</w:t>
      </w:r>
      <w:proofErr w:type="gramEnd"/>
      <w:r w:rsidRPr="00A04969">
        <w:rPr>
          <w:rFonts w:ascii="Times New Roman" w:hAnsi="Times New Roman" w:cs="Times New Roman"/>
          <w:sz w:val="20"/>
          <w:szCs w:val="20"/>
        </w:rPr>
        <w:fldChar w:fldCharType="begin"/>
      </w:r>
      <w:r w:rsidRPr="00A04969">
        <w:rPr>
          <w:rFonts w:ascii="Times New Roman" w:hAnsi="Times New Roman" w:cs="Times New Roman"/>
          <w:sz w:val="20"/>
          <w:szCs w:val="20"/>
        </w:rPr>
        <w:instrText xml:space="preserve"> NOTEREF _Ref334005729 \h </w:instrText>
      </w:r>
      <w:r w:rsidRPr="00A04969">
        <w:rPr>
          <w:rFonts w:ascii="Times New Roman" w:hAnsi="Times New Roman" w:cs="Times New Roman"/>
          <w:sz w:val="20"/>
          <w:szCs w:val="20"/>
        </w:rPr>
      </w:r>
      <w:r w:rsidRPr="00A04969">
        <w:rPr>
          <w:rFonts w:ascii="Times New Roman" w:hAnsi="Times New Roman" w:cs="Times New Roman"/>
          <w:sz w:val="20"/>
          <w:szCs w:val="20"/>
        </w:rPr>
        <w:fldChar w:fldCharType="separate"/>
      </w:r>
      <w:proofErr w:type="gramStart"/>
      <w:r>
        <w:rPr>
          <w:rFonts w:ascii="Times New Roman" w:hAnsi="Times New Roman" w:cs="Times New Roman"/>
          <w:sz w:val="20"/>
          <w:szCs w:val="20"/>
        </w:rPr>
        <w:t>67</w:t>
      </w:r>
      <w:r w:rsidRPr="00A04969">
        <w:rPr>
          <w:rFonts w:ascii="Times New Roman" w:hAnsi="Times New Roman" w:cs="Times New Roman"/>
          <w:sz w:val="20"/>
          <w:szCs w:val="20"/>
        </w:rPr>
        <w:fldChar w:fldCharType="end"/>
      </w:r>
      <w:r w:rsidRPr="00A04969">
        <w:rPr>
          <w:rFonts w:ascii="Times New Roman" w:hAnsi="Times New Roman" w:cs="Times New Roman"/>
          <w:sz w:val="20"/>
          <w:szCs w:val="20"/>
        </w:rPr>
        <w:t xml:space="preserve"> at 26.</w:t>
      </w:r>
      <w:proofErr w:type="gramEnd"/>
    </w:p>
  </w:footnote>
  <w:footnote w:id="292">
    <w:p w14:paraId="190D9EF5" w14:textId="30DB4E2D" w:rsidR="00D43BBB" w:rsidRPr="00A04969" w:rsidRDefault="00D43BBB" w:rsidP="002420B7">
      <w:pPr>
        <w:widowControl w:val="0"/>
        <w:autoSpaceDE w:val="0"/>
        <w:autoSpaceDN w:val="0"/>
        <w:adjustRightInd w:val="0"/>
        <w:rPr>
          <w:sz w:val="20"/>
          <w:szCs w:val="20"/>
        </w:rPr>
      </w:pPr>
      <w:r w:rsidRPr="00A04969">
        <w:rPr>
          <w:rStyle w:val="FootnoteReference"/>
          <w:sz w:val="20"/>
          <w:szCs w:val="20"/>
        </w:rPr>
        <w:footnoteRef/>
      </w:r>
      <w:r w:rsidRPr="00A04969">
        <w:rPr>
          <w:sz w:val="20"/>
          <w:szCs w:val="20"/>
        </w:rPr>
        <w:t xml:space="preserve"> INAC Guidelines, </w:t>
      </w:r>
      <w:r w:rsidRPr="00A04969">
        <w:rPr>
          <w:i/>
          <w:sz w:val="20"/>
          <w:szCs w:val="20"/>
        </w:rPr>
        <w:t>supra</w:t>
      </w:r>
      <w:r w:rsidRPr="00A04969">
        <w:rPr>
          <w:sz w:val="20"/>
          <w:szCs w:val="20"/>
        </w:rPr>
        <w:t xml:space="preserve"> n. </w:t>
      </w:r>
      <w:r w:rsidRPr="00A04969">
        <w:rPr>
          <w:sz w:val="20"/>
          <w:szCs w:val="20"/>
        </w:rPr>
        <w:fldChar w:fldCharType="begin"/>
      </w:r>
      <w:r w:rsidRPr="00A04969">
        <w:rPr>
          <w:sz w:val="20"/>
          <w:szCs w:val="20"/>
        </w:rPr>
        <w:instrText xml:space="preserve"> NOTEREF _Ref334080771 \h </w:instrText>
      </w:r>
      <w:r w:rsidRPr="00A04969">
        <w:rPr>
          <w:sz w:val="20"/>
          <w:szCs w:val="20"/>
        </w:rPr>
      </w:r>
      <w:r w:rsidRPr="00A04969">
        <w:rPr>
          <w:sz w:val="20"/>
          <w:szCs w:val="20"/>
        </w:rPr>
        <w:fldChar w:fldCharType="separate"/>
      </w:r>
      <w:r>
        <w:rPr>
          <w:sz w:val="20"/>
          <w:szCs w:val="20"/>
        </w:rPr>
        <w:t>26</w:t>
      </w:r>
      <w:r w:rsidRPr="00A04969">
        <w:rPr>
          <w:sz w:val="20"/>
          <w:szCs w:val="20"/>
        </w:rPr>
        <w:fldChar w:fldCharType="end"/>
      </w:r>
      <w:r w:rsidRPr="00A04969">
        <w:rPr>
          <w:sz w:val="20"/>
          <w:szCs w:val="20"/>
        </w:rPr>
        <w:t xml:space="preserve">; U.S. Dep’t </w:t>
      </w:r>
      <w:proofErr w:type="gramStart"/>
      <w:r w:rsidRPr="00A04969">
        <w:rPr>
          <w:sz w:val="20"/>
          <w:szCs w:val="20"/>
        </w:rPr>
        <w:t>Of</w:t>
      </w:r>
      <w:proofErr w:type="gramEnd"/>
      <w:r w:rsidRPr="00A04969">
        <w:rPr>
          <w:sz w:val="20"/>
          <w:szCs w:val="20"/>
        </w:rPr>
        <w:t xml:space="preserve"> Health &amp; Human Servs., Tribal Consultation Policy (Dec. 12, 2010) (noting that consultation has the “ultimate goal of reaching consensus on issues”).</w:t>
      </w:r>
    </w:p>
  </w:footnote>
  <w:footnote w:id="293">
    <w:p w14:paraId="38A6ED41" w14:textId="49CFC7DB"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proofErr w:type="gramStart"/>
      <w:r w:rsidRPr="00A04969">
        <w:rPr>
          <w:rFonts w:ascii="Times New Roman" w:hAnsi="Times New Roman" w:cs="Times New Roman"/>
          <w:sz w:val="20"/>
          <w:szCs w:val="20"/>
        </w:rPr>
        <w:t>Edmonson, E.</w:t>
      </w:r>
      <w:proofErr w:type="gramEnd"/>
      <w:r w:rsidRPr="00A04969">
        <w:rPr>
          <w:rFonts w:ascii="Times New Roman" w:hAnsi="Times New Roman" w:cs="Times New Roman"/>
          <w:sz w:val="20"/>
          <w:szCs w:val="20"/>
        </w:rPr>
        <w:t xml:space="preserve"> </w:t>
      </w:r>
    </w:p>
  </w:footnote>
  <w:footnote w:id="294">
    <w:p w14:paraId="3A97E948" w14:textId="110B4D00" w:rsidR="00D43BBB" w:rsidRPr="00A04969" w:rsidRDefault="00D43BBB" w:rsidP="002420B7">
      <w:pPr>
        <w:widowControl w:val="0"/>
        <w:autoSpaceDE w:val="0"/>
        <w:autoSpaceDN w:val="0"/>
        <w:adjustRightInd w:val="0"/>
        <w:rPr>
          <w:i/>
          <w:sz w:val="20"/>
          <w:szCs w:val="20"/>
          <w:lang w:val="en-US"/>
        </w:rPr>
      </w:pPr>
      <w:r w:rsidRPr="00A04969">
        <w:rPr>
          <w:rStyle w:val="FootnoteReference"/>
          <w:sz w:val="20"/>
          <w:szCs w:val="20"/>
        </w:rPr>
        <w:footnoteRef/>
      </w:r>
      <w:r w:rsidRPr="00A04969">
        <w:rPr>
          <w:sz w:val="20"/>
          <w:szCs w:val="20"/>
        </w:rPr>
        <w:t xml:space="preserve"> </w:t>
      </w:r>
      <w:proofErr w:type="gramStart"/>
      <w:r w:rsidRPr="00A04969">
        <w:rPr>
          <w:sz w:val="20"/>
          <w:szCs w:val="20"/>
        </w:rPr>
        <w:t xml:space="preserve">UNHRC 2009, supra n. </w:t>
      </w:r>
      <w:r w:rsidRPr="00A04969">
        <w:rPr>
          <w:sz w:val="20"/>
          <w:szCs w:val="20"/>
        </w:rPr>
        <w:fldChar w:fldCharType="begin"/>
      </w:r>
      <w:r w:rsidRPr="00A04969">
        <w:rPr>
          <w:sz w:val="20"/>
          <w:szCs w:val="20"/>
        </w:rPr>
        <w:instrText xml:space="preserve"> NOTEREF _Ref334007277 \h </w:instrText>
      </w:r>
      <w:r w:rsidRPr="00A04969">
        <w:rPr>
          <w:sz w:val="20"/>
          <w:szCs w:val="20"/>
        </w:rPr>
      </w:r>
      <w:r w:rsidRPr="00A04969">
        <w:rPr>
          <w:sz w:val="20"/>
          <w:szCs w:val="20"/>
        </w:rPr>
        <w:fldChar w:fldCharType="separate"/>
      </w:r>
      <w:r>
        <w:rPr>
          <w:sz w:val="20"/>
          <w:szCs w:val="20"/>
        </w:rPr>
        <w:t>180</w:t>
      </w:r>
      <w:r w:rsidRPr="00A04969">
        <w:rPr>
          <w:sz w:val="20"/>
          <w:szCs w:val="20"/>
        </w:rPr>
        <w:fldChar w:fldCharType="end"/>
      </w:r>
      <w:r w:rsidRPr="00A04969">
        <w:rPr>
          <w:sz w:val="20"/>
          <w:szCs w:val="20"/>
        </w:rPr>
        <w:t>, ¶ 49</w:t>
      </w:r>
      <w:r w:rsidRPr="00A04969">
        <w:rPr>
          <w:color w:val="1F1F1F"/>
          <w:sz w:val="20"/>
          <w:szCs w:val="20"/>
        </w:rPr>
        <w:t xml:space="preserve">; </w:t>
      </w:r>
      <w:r w:rsidRPr="00A04969">
        <w:rPr>
          <w:sz w:val="20"/>
          <w:szCs w:val="20"/>
        </w:rPr>
        <w:t>36 C.F.R. § 800.16(f).</w:t>
      </w:r>
      <w:proofErr w:type="gramEnd"/>
    </w:p>
  </w:footnote>
  <w:footnote w:id="295">
    <w:p w14:paraId="3766C2B3" w14:textId="78A36103" w:rsidR="00D43BBB" w:rsidRPr="00A04969" w:rsidRDefault="00D43BBB" w:rsidP="002420B7">
      <w:pPr>
        <w:widowControl w:val="0"/>
        <w:autoSpaceDE w:val="0"/>
        <w:autoSpaceDN w:val="0"/>
        <w:adjustRightInd w:val="0"/>
        <w:rPr>
          <w:sz w:val="20"/>
          <w:szCs w:val="20"/>
          <w:lang w:val="en-US"/>
        </w:rPr>
      </w:pPr>
      <w:r w:rsidRPr="00A04969">
        <w:rPr>
          <w:rStyle w:val="FootnoteReference"/>
          <w:sz w:val="20"/>
          <w:szCs w:val="20"/>
        </w:rPr>
        <w:footnoteRef/>
      </w:r>
      <w:r w:rsidRPr="00A04969">
        <w:rPr>
          <w:sz w:val="20"/>
          <w:szCs w:val="20"/>
        </w:rPr>
        <w:t xml:space="preserve"> </w:t>
      </w:r>
      <w:proofErr w:type="gramStart"/>
      <w:r w:rsidRPr="00A04969">
        <w:rPr>
          <w:color w:val="1F1F1F"/>
          <w:sz w:val="20"/>
          <w:szCs w:val="20"/>
        </w:rPr>
        <w:t xml:space="preserve">ILO No. 169 </w:t>
      </w:r>
      <w:r w:rsidRPr="00A04969">
        <w:rPr>
          <w:color w:val="1D1D1D"/>
          <w:sz w:val="20"/>
          <w:szCs w:val="20"/>
          <w:lang w:val="en-US"/>
        </w:rPr>
        <w:t>art.</w:t>
      </w:r>
      <w:proofErr w:type="gramEnd"/>
      <w:r w:rsidRPr="00A04969">
        <w:rPr>
          <w:color w:val="1D1D1D"/>
          <w:sz w:val="20"/>
          <w:szCs w:val="20"/>
          <w:lang w:val="en-US"/>
        </w:rPr>
        <w:t xml:space="preserve"> </w:t>
      </w:r>
      <w:proofErr w:type="gramStart"/>
      <w:r w:rsidRPr="00A04969">
        <w:rPr>
          <w:color w:val="1D1D1D"/>
          <w:sz w:val="20"/>
          <w:szCs w:val="20"/>
          <w:lang w:val="en-US"/>
        </w:rPr>
        <w:t>6(2).</w:t>
      </w:r>
      <w:proofErr w:type="gramEnd"/>
    </w:p>
  </w:footnote>
  <w:footnote w:id="296">
    <w:p w14:paraId="31F253F6" w14:textId="717B754A" w:rsidR="00D43BBB" w:rsidRPr="00A04969" w:rsidRDefault="00D43BBB" w:rsidP="002420B7">
      <w:pPr>
        <w:rPr>
          <w:rFonts w:eastAsia="Times New Roman"/>
          <w:color w:val="000000"/>
          <w:sz w:val="20"/>
          <w:szCs w:val="20"/>
          <w:lang w:val="en-US"/>
        </w:rPr>
      </w:pPr>
      <w:r w:rsidRPr="00A04969">
        <w:rPr>
          <w:rStyle w:val="FootnoteReference"/>
          <w:sz w:val="20"/>
          <w:szCs w:val="20"/>
        </w:rPr>
        <w:footnoteRef/>
      </w:r>
      <w:r w:rsidRPr="00A04969">
        <w:rPr>
          <w:sz w:val="20"/>
          <w:szCs w:val="20"/>
        </w:rPr>
        <w:t xml:space="preserve"> Secretarial Order, </w:t>
      </w:r>
      <w:r w:rsidRPr="00A04969">
        <w:rPr>
          <w:rFonts w:eastAsia="Times New Roman"/>
          <w:color w:val="000000"/>
          <w:sz w:val="20"/>
          <w:szCs w:val="20"/>
          <w:lang w:val="en-US"/>
        </w:rPr>
        <w:t xml:space="preserve">American Indian Tribal Rights, Federal-Tribal Trust Responsibilities, and the Endangered Species Act (June 5, 1997); Procedures for Consultations between State Authorities and </w:t>
      </w:r>
      <w:proofErr w:type="gramStart"/>
      <w:r w:rsidRPr="00A04969">
        <w:rPr>
          <w:rFonts w:eastAsia="Times New Roman"/>
          <w:color w:val="000000"/>
          <w:sz w:val="20"/>
          <w:szCs w:val="20"/>
          <w:lang w:val="en-US"/>
        </w:rPr>
        <w:t>The</w:t>
      </w:r>
      <w:proofErr w:type="gramEnd"/>
      <w:r w:rsidRPr="00A04969">
        <w:rPr>
          <w:rFonts w:eastAsia="Times New Roman"/>
          <w:color w:val="000000"/>
          <w:sz w:val="20"/>
          <w:szCs w:val="20"/>
          <w:lang w:val="en-US"/>
        </w:rPr>
        <w:t xml:space="preserve"> Saami Parliament (2005).</w:t>
      </w:r>
    </w:p>
  </w:footnote>
  <w:footnote w:id="297">
    <w:p w14:paraId="0551FAA1" w14:textId="697B8B1E" w:rsidR="00D43BBB" w:rsidRPr="00A04969" w:rsidRDefault="00D43BBB" w:rsidP="002420B7">
      <w:pPr>
        <w:widowControl w:val="0"/>
        <w:autoSpaceDE w:val="0"/>
        <w:autoSpaceDN w:val="0"/>
        <w:adjustRightInd w:val="0"/>
        <w:rPr>
          <w:sz w:val="20"/>
          <w:szCs w:val="20"/>
        </w:rPr>
      </w:pPr>
      <w:r w:rsidRPr="00A04969">
        <w:rPr>
          <w:rStyle w:val="FootnoteReference"/>
          <w:sz w:val="20"/>
          <w:szCs w:val="20"/>
        </w:rPr>
        <w:footnoteRef/>
      </w:r>
      <w:r w:rsidRPr="00A04969">
        <w:rPr>
          <w:sz w:val="20"/>
          <w:szCs w:val="20"/>
        </w:rPr>
        <w:t xml:space="preserve"> </w:t>
      </w:r>
      <w:proofErr w:type="gramStart"/>
      <w:r w:rsidRPr="00A04969">
        <w:rPr>
          <w:sz w:val="20"/>
          <w:szCs w:val="20"/>
        </w:rPr>
        <w:t xml:space="preserve">AEPS Declaration, </w:t>
      </w:r>
      <w:r w:rsidRPr="00A04969">
        <w:rPr>
          <w:i/>
          <w:sz w:val="20"/>
          <w:szCs w:val="20"/>
        </w:rPr>
        <w:t>supra</w:t>
      </w:r>
      <w:r w:rsidRPr="00A04969">
        <w:rPr>
          <w:sz w:val="20"/>
          <w:szCs w:val="20"/>
        </w:rPr>
        <w:t xml:space="preserve"> n. </w:t>
      </w:r>
      <w:r w:rsidRPr="00A04969">
        <w:rPr>
          <w:sz w:val="20"/>
          <w:szCs w:val="20"/>
        </w:rPr>
        <w:fldChar w:fldCharType="begin"/>
      </w:r>
      <w:r w:rsidRPr="00A04969">
        <w:rPr>
          <w:sz w:val="20"/>
          <w:szCs w:val="20"/>
        </w:rPr>
        <w:instrText xml:space="preserve"> NOTEREF _Ref334007315 \h </w:instrText>
      </w:r>
      <w:r w:rsidRPr="00A04969">
        <w:rPr>
          <w:sz w:val="20"/>
          <w:szCs w:val="20"/>
        </w:rPr>
      </w:r>
      <w:r w:rsidRPr="00A04969">
        <w:rPr>
          <w:sz w:val="20"/>
          <w:szCs w:val="20"/>
        </w:rPr>
        <w:fldChar w:fldCharType="separate"/>
      </w:r>
      <w:r>
        <w:rPr>
          <w:sz w:val="20"/>
          <w:szCs w:val="20"/>
        </w:rPr>
        <w:t>171</w:t>
      </w:r>
      <w:r w:rsidRPr="00A04969">
        <w:rPr>
          <w:sz w:val="20"/>
          <w:szCs w:val="20"/>
        </w:rPr>
        <w:fldChar w:fldCharType="end"/>
      </w:r>
      <w:r w:rsidRPr="00A04969">
        <w:rPr>
          <w:sz w:val="20"/>
          <w:szCs w:val="20"/>
        </w:rPr>
        <w:t>.</w:t>
      </w:r>
      <w:proofErr w:type="gramEnd"/>
    </w:p>
  </w:footnote>
  <w:footnote w:id="298">
    <w:p w14:paraId="29719718" w14:textId="42E348A8"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proofErr w:type="gramStart"/>
      <w:r w:rsidRPr="00A04969">
        <w:rPr>
          <w:rFonts w:ascii="Times New Roman" w:hAnsi="Times New Roman" w:cs="Times New Roman"/>
          <w:sz w:val="20"/>
          <w:szCs w:val="20"/>
          <w:lang w:val="en-CA"/>
        </w:rPr>
        <w:t xml:space="preserve">PAME Offshore Oil and Gas, </w:t>
      </w:r>
      <w:r w:rsidRPr="00A04969">
        <w:rPr>
          <w:rFonts w:ascii="Times New Roman" w:hAnsi="Times New Roman" w:cs="Times New Roman"/>
          <w:i/>
          <w:sz w:val="20"/>
          <w:szCs w:val="20"/>
        </w:rPr>
        <w:t>supra</w:t>
      </w:r>
      <w:r w:rsidRPr="00A04969">
        <w:rPr>
          <w:rFonts w:ascii="Times New Roman" w:hAnsi="Times New Roman" w:cs="Times New Roman"/>
          <w:sz w:val="20"/>
          <w:szCs w:val="20"/>
        </w:rPr>
        <w:t xml:space="preserve"> n. </w:t>
      </w:r>
      <w:r w:rsidRPr="00A04969">
        <w:rPr>
          <w:rFonts w:ascii="Times New Roman" w:hAnsi="Times New Roman" w:cs="Times New Roman"/>
          <w:sz w:val="20"/>
          <w:szCs w:val="20"/>
        </w:rPr>
        <w:fldChar w:fldCharType="begin"/>
      </w:r>
      <w:r w:rsidRPr="00A04969">
        <w:rPr>
          <w:rFonts w:ascii="Times New Roman" w:hAnsi="Times New Roman" w:cs="Times New Roman"/>
          <w:sz w:val="20"/>
          <w:szCs w:val="20"/>
        </w:rPr>
        <w:instrText xml:space="preserve"> NOTEREF _Ref333994849 \h </w:instrText>
      </w:r>
      <w:r w:rsidRPr="00A04969">
        <w:rPr>
          <w:rFonts w:ascii="Times New Roman" w:hAnsi="Times New Roman" w:cs="Times New Roman"/>
          <w:sz w:val="20"/>
          <w:szCs w:val="20"/>
        </w:rPr>
      </w:r>
      <w:r w:rsidRPr="00A04969">
        <w:rPr>
          <w:rFonts w:ascii="Times New Roman" w:hAnsi="Times New Roman" w:cs="Times New Roman"/>
          <w:sz w:val="20"/>
          <w:szCs w:val="20"/>
        </w:rPr>
        <w:fldChar w:fldCharType="separate"/>
      </w:r>
      <w:r>
        <w:rPr>
          <w:rFonts w:ascii="Times New Roman" w:hAnsi="Times New Roman" w:cs="Times New Roman"/>
          <w:sz w:val="20"/>
          <w:szCs w:val="20"/>
        </w:rPr>
        <w:t>78</w:t>
      </w:r>
      <w:r w:rsidRPr="00A04969">
        <w:rPr>
          <w:rFonts w:ascii="Times New Roman" w:hAnsi="Times New Roman" w:cs="Times New Roman"/>
          <w:sz w:val="20"/>
          <w:szCs w:val="20"/>
        </w:rPr>
        <w:fldChar w:fldCharType="end"/>
      </w:r>
      <w:r w:rsidRPr="00A04969">
        <w:rPr>
          <w:rFonts w:ascii="Times New Roman" w:hAnsi="Times New Roman" w:cs="Times New Roman"/>
          <w:sz w:val="20"/>
          <w:szCs w:val="20"/>
        </w:rPr>
        <w:t xml:space="preserve"> </w:t>
      </w:r>
      <w:r w:rsidRPr="00A04969">
        <w:rPr>
          <w:rFonts w:ascii="Times New Roman" w:hAnsi="Times New Roman" w:cs="Times New Roman"/>
          <w:sz w:val="20"/>
          <w:szCs w:val="20"/>
          <w:lang w:val="en-CA"/>
        </w:rPr>
        <w:t>at 19.</w:t>
      </w:r>
      <w:proofErr w:type="gramEnd"/>
    </w:p>
  </w:footnote>
  <w:footnote w:id="299">
    <w:p w14:paraId="3CC898EB" w14:textId="05C4B4DE"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proofErr w:type="gramStart"/>
      <w:r w:rsidRPr="00A04969">
        <w:rPr>
          <w:rFonts w:ascii="Times New Roman" w:hAnsi="Times New Roman" w:cs="Times New Roman"/>
          <w:i/>
          <w:sz w:val="20"/>
          <w:szCs w:val="20"/>
        </w:rPr>
        <w:t>See e.g.,</w:t>
      </w:r>
      <w:r w:rsidRPr="00A04969">
        <w:rPr>
          <w:rFonts w:ascii="Times New Roman" w:hAnsi="Times New Roman" w:cs="Times New Roman"/>
          <w:sz w:val="20"/>
          <w:szCs w:val="20"/>
        </w:rPr>
        <w:t xml:space="preserve"> AMAP, Oil and Gas Activities in the Arctic at 7-15 (2007); PAME Offshore Oil and Gas, </w:t>
      </w:r>
      <w:r w:rsidRPr="00A04969">
        <w:rPr>
          <w:rFonts w:ascii="Times New Roman" w:hAnsi="Times New Roman" w:cs="Times New Roman"/>
          <w:i/>
          <w:sz w:val="20"/>
          <w:szCs w:val="20"/>
        </w:rPr>
        <w:t>supra</w:t>
      </w:r>
      <w:r w:rsidRPr="00A04969">
        <w:rPr>
          <w:rFonts w:ascii="Times New Roman" w:hAnsi="Times New Roman" w:cs="Times New Roman"/>
          <w:sz w:val="20"/>
          <w:szCs w:val="20"/>
        </w:rPr>
        <w:t xml:space="preserve"> n. </w:t>
      </w:r>
      <w:r w:rsidRPr="00A04969">
        <w:rPr>
          <w:rFonts w:ascii="Times New Roman" w:hAnsi="Times New Roman" w:cs="Times New Roman"/>
          <w:sz w:val="20"/>
          <w:szCs w:val="20"/>
        </w:rPr>
        <w:fldChar w:fldCharType="begin"/>
      </w:r>
      <w:r w:rsidRPr="00A04969">
        <w:rPr>
          <w:rFonts w:ascii="Times New Roman" w:hAnsi="Times New Roman" w:cs="Times New Roman"/>
          <w:sz w:val="20"/>
          <w:szCs w:val="20"/>
        </w:rPr>
        <w:instrText xml:space="preserve"> NOTEREF _Ref333994849 \h </w:instrText>
      </w:r>
      <w:r w:rsidRPr="00A04969">
        <w:rPr>
          <w:rFonts w:ascii="Times New Roman" w:hAnsi="Times New Roman" w:cs="Times New Roman"/>
          <w:sz w:val="20"/>
          <w:szCs w:val="20"/>
        </w:rPr>
      </w:r>
      <w:r w:rsidRPr="00A04969">
        <w:rPr>
          <w:rFonts w:ascii="Times New Roman" w:hAnsi="Times New Roman" w:cs="Times New Roman"/>
          <w:sz w:val="20"/>
          <w:szCs w:val="20"/>
        </w:rPr>
        <w:fldChar w:fldCharType="separate"/>
      </w:r>
      <w:r>
        <w:rPr>
          <w:rFonts w:ascii="Times New Roman" w:hAnsi="Times New Roman" w:cs="Times New Roman"/>
          <w:sz w:val="20"/>
          <w:szCs w:val="20"/>
        </w:rPr>
        <w:t>78</w:t>
      </w:r>
      <w:r w:rsidRPr="00A04969">
        <w:rPr>
          <w:rFonts w:ascii="Times New Roman" w:hAnsi="Times New Roman" w:cs="Times New Roman"/>
          <w:sz w:val="20"/>
          <w:szCs w:val="20"/>
        </w:rPr>
        <w:fldChar w:fldCharType="end"/>
      </w:r>
      <w:r w:rsidRPr="00A04969">
        <w:rPr>
          <w:rFonts w:ascii="Times New Roman" w:hAnsi="Times New Roman" w:cs="Times New Roman"/>
          <w:sz w:val="20"/>
          <w:szCs w:val="20"/>
        </w:rPr>
        <w:t xml:space="preserve"> at 9.</w:t>
      </w:r>
      <w:proofErr w:type="gramEnd"/>
    </w:p>
  </w:footnote>
  <w:footnote w:id="300">
    <w:p w14:paraId="79BFF09A" w14:textId="4C8EE6E4" w:rsidR="00D43BBB" w:rsidRPr="00A04969" w:rsidRDefault="00D43BBB" w:rsidP="002420B7">
      <w:pPr>
        <w:widowControl w:val="0"/>
        <w:autoSpaceDE w:val="0"/>
        <w:autoSpaceDN w:val="0"/>
        <w:adjustRightInd w:val="0"/>
        <w:rPr>
          <w:sz w:val="20"/>
          <w:szCs w:val="20"/>
        </w:rPr>
      </w:pPr>
      <w:r w:rsidRPr="00A04969">
        <w:rPr>
          <w:rStyle w:val="FootnoteReference"/>
          <w:sz w:val="20"/>
          <w:szCs w:val="20"/>
        </w:rPr>
        <w:footnoteRef/>
      </w:r>
      <w:r w:rsidRPr="00A04969">
        <w:rPr>
          <w:sz w:val="20"/>
          <w:szCs w:val="20"/>
        </w:rPr>
        <w:t xml:space="preserve"> </w:t>
      </w:r>
      <w:proofErr w:type="gramStart"/>
      <w:r w:rsidRPr="00A04969">
        <w:rPr>
          <w:i/>
          <w:sz w:val="20"/>
          <w:szCs w:val="20"/>
        </w:rPr>
        <w:t>See, e.g</w:t>
      </w:r>
      <w:r w:rsidRPr="00A04969">
        <w:rPr>
          <w:sz w:val="20"/>
          <w:szCs w:val="20"/>
        </w:rPr>
        <w:t xml:space="preserve">., </w:t>
      </w:r>
      <w:r w:rsidRPr="00A04969">
        <w:rPr>
          <w:iCs/>
          <w:sz w:val="20"/>
          <w:szCs w:val="20"/>
        </w:rPr>
        <w:t xml:space="preserve">INAC Guidelines, </w:t>
      </w:r>
      <w:r w:rsidRPr="00A04969">
        <w:rPr>
          <w:i/>
          <w:sz w:val="20"/>
          <w:szCs w:val="20"/>
        </w:rPr>
        <w:t>supra</w:t>
      </w:r>
      <w:r w:rsidRPr="00A04969">
        <w:rPr>
          <w:sz w:val="20"/>
          <w:szCs w:val="20"/>
        </w:rPr>
        <w:t xml:space="preserve"> n. </w:t>
      </w:r>
      <w:r w:rsidRPr="00A04969">
        <w:rPr>
          <w:sz w:val="20"/>
          <w:szCs w:val="20"/>
        </w:rPr>
        <w:fldChar w:fldCharType="begin"/>
      </w:r>
      <w:r w:rsidRPr="00A04969">
        <w:rPr>
          <w:sz w:val="20"/>
          <w:szCs w:val="20"/>
        </w:rPr>
        <w:instrText xml:space="preserve"> NOTEREF _Ref334080771 \h </w:instrText>
      </w:r>
      <w:r w:rsidRPr="00A04969">
        <w:rPr>
          <w:sz w:val="20"/>
          <w:szCs w:val="20"/>
        </w:rPr>
      </w:r>
      <w:r w:rsidRPr="00A04969">
        <w:rPr>
          <w:sz w:val="20"/>
          <w:szCs w:val="20"/>
        </w:rPr>
        <w:fldChar w:fldCharType="separate"/>
      </w:r>
      <w:r>
        <w:rPr>
          <w:sz w:val="20"/>
          <w:szCs w:val="20"/>
        </w:rPr>
        <w:t>26</w:t>
      </w:r>
      <w:r w:rsidRPr="00A04969">
        <w:rPr>
          <w:sz w:val="20"/>
          <w:szCs w:val="20"/>
        </w:rPr>
        <w:fldChar w:fldCharType="end"/>
      </w:r>
      <w:r w:rsidRPr="00A04969">
        <w:rPr>
          <w:iCs/>
          <w:sz w:val="20"/>
          <w:szCs w:val="20"/>
        </w:rPr>
        <w:t>,</w:t>
      </w:r>
      <w:r w:rsidRPr="00A04969">
        <w:rPr>
          <w:sz w:val="20"/>
          <w:szCs w:val="20"/>
        </w:rPr>
        <w:t xml:space="preserve"> </w:t>
      </w:r>
      <w:proofErr w:type="spellStart"/>
      <w:r w:rsidRPr="00A04969">
        <w:rPr>
          <w:sz w:val="20"/>
          <w:szCs w:val="20"/>
        </w:rPr>
        <w:t>Ginoogaming</w:t>
      </w:r>
      <w:proofErr w:type="spellEnd"/>
      <w:r w:rsidRPr="00A04969">
        <w:rPr>
          <w:sz w:val="20"/>
          <w:szCs w:val="20"/>
        </w:rPr>
        <w:t xml:space="preserve"> Consultation Protocol, </w:t>
      </w:r>
      <w:r w:rsidRPr="00A04969">
        <w:rPr>
          <w:i/>
          <w:sz w:val="20"/>
          <w:szCs w:val="20"/>
        </w:rPr>
        <w:t>supra</w:t>
      </w:r>
      <w:r w:rsidRPr="00A04969">
        <w:rPr>
          <w:sz w:val="20"/>
          <w:szCs w:val="20"/>
        </w:rPr>
        <w:t xml:space="preserve"> n. </w:t>
      </w:r>
      <w:r w:rsidRPr="00A04969">
        <w:rPr>
          <w:i/>
          <w:sz w:val="20"/>
          <w:szCs w:val="20"/>
          <w:highlight w:val="cyan"/>
        </w:rPr>
        <w:fldChar w:fldCharType="begin"/>
      </w:r>
      <w:r w:rsidRPr="00A04969">
        <w:rPr>
          <w:sz w:val="20"/>
          <w:szCs w:val="20"/>
        </w:rPr>
        <w:instrText xml:space="preserve"> NOTEREF _Ref333999948 \h </w:instrText>
      </w:r>
      <w:r w:rsidRPr="00A04969">
        <w:rPr>
          <w:i/>
          <w:sz w:val="20"/>
          <w:szCs w:val="20"/>
          <w:highlight w:val="cyan"/>
        </w:rPr>
      </w:r>
      <w:r w:rsidRPr="00A04969">
        <w:rPr>
          <w:i/>
          <w:sz w:val="20"/>
          <w:szCs w:val="20"/>
          <w:highlight w:val="cyan"/>
        </w:rPr>
        <w:fldChar w:fldCharType="separate"/>
      </w:r>
      <w:r>
        <w:rPr>
          <w:sz w:val="20"/>
          <w:szCs w:val="20"/>
        </w:rPr>
        <w:t>46</w:t>
      </w:r>
      <w:r w:rsidRPr="00A04969">
        <w:rPr>
          <w:i/>
          <w:sz w:val="20"/>
          <w:szCs w:val="20"/>
          <w:highlight w:val="cyan"/>
        </w:rPr>
        <w:fldChar w:fldCharType="end"/>
      </w:r>
      <w:r w:rsidRPr="00A04969">
        <w:rPr>
          <w:i/>
          <w:sz w:val="20"/>
          <w:szCs w:val="20"/>
        </w:rPr>
        <w:t xml:space="preserve"> </w:t>
      </w:r>
      <w:r w:rsidRPr="00A04969">
        <w:rPr>
          <w:sz w:val="20"/>
          <w:szCs w:val="20"/>
        </w:rPr>
        <w:t>at 8.</w:t>
      </w:r>
      <w:proofErr w:type="gramEnd"/>
    </w:p>
  </w:footnote>
  <w:footnote w:id="301">
    <w:p w14:paraId="055E9081" w14:textId="2BEA7AC3" w:rsidR="00D43BBB" w:rsidRPr="003B1979" w:rsidRDefault="00D43BBB" w:rsidP="003B1979">
      <w:pPr>
        <w:widowControl w:val="0"/>
        <w:tabs>
          <w:tab w:val="left" w:pos="220"/>
          <w:tab w:val="left" w:pos="720"/>
        </w:tabs>
        <w:autoSpaceDE w:val="0"/>
        <w:autoSpaceDN w:val="0"/>
        <w:adjustRightInd w:val="0"/>
        <w:rPr>
          <w:sz w:val="20"/>
          <w:szCs w:val="20"/>
          <w:lang w:val="en-US"/>
        </w:rPr>
      </w:pPr>
      <w:r w:rsidRPr="00A04969">
        <w:rPr>
          <w:rStyle w:val="FootnoteReference"/>
          <w:sz w:val="20"/>
          <w:szCs w:val="20"/>
        </w:rPr>
        <w:footnoteRef/>
      </w:r>
      <w:r w:rsidRPr="00A04969">
        <w:rPr>
          <w:sz w:val="20"/>
          <w:szCs w:val="20"/>
        </w:rPr>
        <w:t xml:space="preserve"> </w:t>
      </w:r>
      <w:r w:rsidRPr="00A04969">
        <w:rPr>
          <w:iCs/>
          <w:sz w:val="20"/>
          <w:szCs w:val="20"/>
        </w:rPr>
        <w:t xml:space="preserve">INAC Guidelines, </w:t>
      </w:r>
      <w:r w:rsidRPr="00A04969">
        <w:rPr>
          <w:i/>
          <w:sz w:val="20"/>
          <w:szCs w:val="20"/>
        </w:rPr>
        <w:t>supra</w:t>
      </w:r>
      <w:r w:rsidRPr="00A04969">
        <w:rPr>
          <w:sz w:val="20"/>
          <w:szCs w:val="20"/>
        </w:rPr>
        <w:t xml:space="preserve"> n. </w:t>
      </w:r>
      <w:r w:rsidRPr="00A04969">
        <w:rPr>
          <w:sz w:val="20"/>
          <w:szCs w:val="20"/>
        </w:rPr>
        <w:fldChar w:fldCharType="begin"/>
      </w:r>
      <w:r w:rsidRPr="00A04969">
        <w:rPr>
          <w:sz w:val="20"/>
          <w:szCs w:val="20"/>
        </w:rPr>
        <w:instrText xml:space="preserve"> NOTEREF _Ref334080771 \h </w:instrText>
      </w:r>
      <w:r w:rsidRPr="00A04969">
        <w:rPr>
          <w:sz w:val="20"/>
          <w:szCs w:val="20"/>
        </w:rPr>
      </w:r>
      <w:r w:rsidRPr="00A04969">
        <w:rPr>
          <w:sz w:val="20"/>
          <w:szCs w:val="20"/>
        </w:rPr>
        <w:fldChar w:fldCharType="separate"/>
      </w:r>
      <w:r>
        <w:rPr>
          <w:sz w:val="20"/>
          <w:szCs w:val="20"/>
        </w:rPr>
        <w:t>26</w:t>
      </w:r>
      <w:r w:rsidRPr="00A04969">
        <w:rPr>
          <w:sz w:val="20"/>
          <w:szCs w:val="20"/>
        </w:rPr>
        <w:fldChar w:fldCharType="end"/>
      </w:r>
      <w:r w:rsidRPr="00A04969">
        <w:rPr>
          <w:bCs/>
          <w:sz w:val="20"/>
          <w:szCs w:val="20"/>
        </w:rPr>
        <w:t xml:space="preserve">; See also </w:t>
      </w:r>
      <w:proofErr w:type="spellStart"/>
      <w:r w:rsidRPr="00A04969">
        <w:rPr>
          <w:bCs/>
          <w:sz w:val="20"/>
          <w:szCs w:val="20"/>
        </w:rPr>
        <w:t>Métis</w:t>
      </w:r>
      <w:proofErr w:type="spellEnd"/>
      <w:r w:rsidRPr="00A04969">
        <w:rPr>
          <w:bCs/>
          <w:sz w:val="20"/>
          <w:szCs w:val="20"/>
        </w:rPr>
        <w:t xml:space="preserve"> Nation Of Alberta Policy Guidelines Regarding The Duty To Consult And Accommodate, </w:t>
      </w:r>
      <w:r w:rsidRPr="00A04969">
        <w:rPr>
          <w:sz w:val="20"/>
          <w:szCs w:val="20"/>
        </w:rPr>
        <w:t>¶</w:t>
      </w:r>
      <w:r w:rsidRPr="00A04969">
        <w:rPr>
          <w:bCs/>
          <w:sz w:val="20"/>
          <w:szCs w:val="20"/>
        </w:rPr>
        <w:t xml:space="preserve"> B (5) (2009) (</w:t>
      </w:r>
      <w:r w:rsidRPr="003B1979">
        <w:rPr>
          <w:bCs/>
          <w:sz w:val="20"/>
          <w:szCs w:val="20"/>
        </w:rPr>
        <w:t xml:space="preserve">noting </w:t>
      </w:r>
      <w:r w:rsidRPr="003B1979">
        <w:rPr>
          <w:sz w:val="20"/>
          <w:szCs w:val="20"/>
          <w:lang w:val="en-US"/>
        </w:rPr>
        <w:t xml:space="preserve">“Accommodation must seek to reconcile asserted Métis Aboriginal rights and interests with the interests of other stakeholders and the general public interest in such a way as to minimize adverse effects on Alberta’s Métis people.”) </w:t>
      </w:r>
    </w:p>
  </w:footnote>
  <w:footnote w:id="302">
    <w:p w14:paraId="25E95236" w14:textId="432F0ED9" w:rsidR="00D43BBB" w:rsidRPr="003B1979" w:rsidRDefault="00D43BBB" w:rsidP="003B1979">
      <w:pPr>
        <w:widowControl w:val="0"/>
        <w:autoSpaceDE w:val="0"/>
        <w:autoSpaceDN w:val="0"/>
        <w:adjustRightInd w:val="0"/>
        <w:rPr>
          <w:sz w:val="20"/>
          <w:szCs w:val="20"/>
          <w:lang w:val="en-US"/>
        </w:rPr>
      </w:pPr>
      <w:r w:rsidRPr="003B1979">
        <w:rPr>
          <w:rStyle w:val="FootnoteReference"/>
          <w:sz w:val="20"/>
          <w:szCs w:val="20"/>
        </w:rPr>
        <w:footnoteRef/>
      </w:r>
      <w:r w:rsidRPr="003B1979">
        <w:rPr>
          <w:sz w:val="20"/>
          <w:szCs w:val="20"/>
        </w:rPr>
        <w:t xml:space="preserve"> </w:t>
      </w:r>
      <w:proofErr w:type="spellStart"/>
      <w:r w:rsidRPr="003B1979">
        <w:rPr>
          <w:sz w:val="20"/>
          <w:szCs w:val="20"/>
          <w:lang w:val="en-US"/>
        </w:rPr>
        <w:t>Tsilhqot'in</w:t>
      </w:r>
      <w:proofErr w:type="spellEnd"/>
      <w:r w:rsidRPr="003B1979">
        <w:rPr>
          <w:sz w:val="20"/>
          <w:szCs w:val="20"/>
          <w:lang w:val="en-US"/>
        </w:rPr>
        <w:t xml:space="preserve"> Nation v. British Columbia, 2014 SCC 44, para. 88.</w:t>
      </w:r>
    </w:p>
  </w:footnote>
  <w:footnote w:id="303">
    <w:p w14:paraId="73C1F641" w14:textId="50453290" w:rsidR="00D43BBB" w:rsidRPr="00A04969" w:rsidRDefault="00D43BBB" w:rsidP="003B1979">
      <w:pPr>
        <w:pStyle w:val="FootnoteText"/>
        <w:rPr>
          <w:rFonts w:ascii="Times New Roman" w:hAnsi="Times New Roman" w:cs="Times New Roman"/>
          <w:sz w:val="20"/>
          <w:szCs w:val="20"/>
        </w:rPr>
      </w:pPr>
      <w:r w:rsidRPr="003B1979">
        <w:rPr>
          <w:rStyle w:val="FootnoteReference"/>
          <w:rFonts w:ascii="Times New Roman" w:hAnsi="Times New Roman" w:cs="Times New Roman"/>
          <w:sz w:val="20"/>
          <w:szCs w:val="20"/>
        </w:rPr>
        <w:footnoteRef/>
      </w:r>
      <w:r w:rsidRPr="003B1979">
        <w:rPr>
          <w:rFonts w:ascii="Times New Roman" w:hAnsi="Times New Roman" w:cs="Times New Roman"/>
          <w:sz w:val="20"/>
          <w:szCs w:val="20"/>
        </w:rPr>
        <w:t xml:space="preserve"> </w:t>
      </w:r>
      <w:r w:rsidRPr="003B1979">
        <w:rPr>
          <w:rFonts w:ascii="Times New Roman" w:hAnsi="Times New Roman" w:cs="Times New Roman"/>
          <w:i/>
          <w:sz w:val="20"/>
          <w:szCs w:val="20"/>
        </w:rPr>
        <w:t>See, e.g</w:t>
      </w:r>
      <w:r w:rsidRPr="003B1979">
        <w:rPr>
          <w:rFonts w:ascii="Times New Roman" w:hAnsi="Times New Roman" w:cs="Times New Roman"/>
          <w:sz w:val="20"/>
          <w:szCs w:val="20"/>
        </w:rPr>
        <w:t xml:space="preserve">., </w:t>
      </w:r>
      <w:r w:rsidRPr="003B1979">
        <w:rPr>
          <w:rFonts w:ascii="Times New Roman" w:hAnsi="Times New Roman" w:cs="Times New Roman"/>
          <w:iCs/>
          <w:sz w:val="20"/>
          <w:szCs w:val="20"/>
        </w:rPr>
        <w:t xml:space="preserve">INAC Guidelines, </w:t>
      </w:r>
      <w:r w:rsidRPr="003B1979">
        <w:rPr>
          <w:rFonts w:ascii="Times New Roman" w:hAnsi="Times New Roman" w:cs="Times New Roman"/>
          <w:i/>
          <w:sz w:val="20"/>
          <w:szCs w:val="20"/>
        </w:rPr>
        <w:t>supra</w:t>
      </w:r>
      <w:r w:rsidRPr="003B1979">
        <w:rPr>
          <w:rFonts w:ascii="Times New Roman" w:hAnsi="Times New Roman" w:cs="Times New Roman"/>
          <w:sz w:val="20"/>
          <w:szCs w:val="20"/>
        </w:rPr>
        <w:t xml:space="preserve"> n. </w:t>
      </w:r>
      <w:r w:rsidRPr="003B1979">
        <w:rPr>
          <w:rFonts w:ascii="Times New Roman" w:hAnsi="Times New Roman" w:cs="Times New Roman"/>
          <w:sz w:val="20"/>
          <w:szCs w:val="20"/>
        </w:rPr>
        <w:fldChar w:fldCharType="begin"/>
      </w:r>
      <w:r w:rsidRPr="003B1979">
        <w:rPr>
          <w:rFonts w:ascii="Times New Roman" w:hAnsi="Times New Roman" w:cs="Times New Roman"/>
          <w:sz w:val="20"/>
          <w:szCs w:val="20"/>
        </w:rPr>
        <w:instrText xml:space="preserve"> NOTEREF _Ref334080771 \h </w:instrText>
      </w:r>
      <w:r w:rsidRPr="003B1979">
        <w:rPr>
          <w:rFonts w:ascii="Times New Roman" w:hAnsi="Times New Roman" w:cs="Times New Roman"/>
          <w:sz w:val="20"/>
          <w:szCs w:val="20"/>
        </w:rPr>
      </w:r>
      <w:r w:rsidRPr="003B1979">
        <w:rPr>
          <w:rFonts w:ascii="Times New Roman" w:hAnsi="Times New Roman" w:cs="Times New Roman"/>
          <w:sz w:val="20"/>
          <w:szCs w:val="20"/>
        </w:rPr>
        <w:fldChar w:fldCharType="separate"/>
      </w:r>
      <w:r>
        <w:rPr>
          <w:rFonts w:ascii="Times New Roman" w:hAnsi="Times New Roman" w:cs="Times New Roman"/>
          <w:sz w:val="20"/>
          <w:szCs w:val="20"/>
        </w:rPr>
        <w:t>26</w:t>
      </w:r>
      <w:r w:rsidRPr="003B1979">
        <w:rPr>
          <w:rFonts w:ascii="Times New Roman" w:hAnsi="Times New Roman" w:cs="Times New Roman"/>
          <w:sz w:val="20"/>
          <w:szCs w:val="20"/>
        </w:rPr>
        <w:fldChar w:fldCharType="end"/>
      </w:r>
      <w:r w:rsidRPr="003B1979">
        <w:rPr>
          <w:rFonts w:ascii="Times New Roman" w:hAnsi="Times New Roman" w:cs="Times New Roman"/>
          <w:sz w:val="20"/>
          <w:szCs w:val="20"/>
        </w:rPr>
        <w:t xml:space="preserve"> Alaska Native Interest</w:t>
      </w:r>
      <w:r w:rsidRPr="00A04969">
        <w:rPr>
          <w:rFonts w:ascii="Times New Roman" w:hAnsi="Times New Roman" w:cs="Times New Roman"/>
          <w:sz w:val="20"/>
          <w:szCs w:val="20"/>
        </w:rPr>
        <w:t xml:space="preserve"> in Lands Act, §810(a</w:t>
      </w:r>
      <w:proofErr w:type="gramStart"/>
      <w:r w:rsidRPr="00A04969">
        <w:rPr>
          <w:rFonts w:ascii="Times New Roman" w:hAnsi="Times New Roman" w:cs="Times New Roman"/>
          <w:sz w:val="20"/>
          <w:szCs w:val="20"/>
        </w:rPr>
        <w:t>)(</w:t>
      </w:r>
      <w:proofErr w:type="gramEnd"/>
      <w:r w:rsidRPr="00A04969">
        <w:rPr>
          <w:rFonts w:ascii="Times New Roman" w:hAnsi="Times New Roman" w:cs="Times New Roman"/>
          <w:sz w:val="20"/>
          <w:szCs w:val="20"/>
        </w:rPr>
        <w:t>3)(C).</w:t>
      </w:r>
    </w:p>
  </w:footnote>
  <w:footnote w:id="304">
    <w:p w14:paraId="7D698743" w14:textId="7E975FDF"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proofErr w:type="gramStart"/>
      <w:r w:rsidRPr="00A04969">
        <w:rPr>
          <w:rFonts w:ascii="Times New Roman" w:hAnsi="Times New Roman" w:cs="Times New Roman"/>
          <w:sz w:val="20"/>
          <w:szCs w:val="20"/>
        </w:rPr>
        <w:t xml:space="preserve">ELI Consultation Handbook, </w:t>
      </w:r>
      <w:r w:rsidRPr="00A04969">
        <w:rPr>
          <w:rFonts w:ascii="Times New Roman" w:hAnsi="Times New Roman" w:cs="Times New Roman"/>
          <w:i/>
          <w:sz w:val="20"/>
          <w:szCs w:val="20"/>
        </w:rPr>
        <w:t>supra</w:t>
      </w:r>
      <w:r w:rsidRPr="00A04969">
        <w:rPr>
          <w:rFonts w:ascii="Times New Roman" w:hAnsi="Times New Roman" w:cs="Times New Roman"/>
          <w:sz w:val="20"/>
          <w:szCs w:val="20"/>
        </w:rPr>
        <w:t xml:space="preserve"> n. </w:t>
      </w:r>
      <w:r w:rsidRPr="00A04969">
        <w:rPr>
          <w:rFonts w:ascii="Times New Roman" w:hAnsi="Times New Roman" w:cs="Times New Roman"/>
          <w:sz w:val="20"/>
          <w:szCs w:val="20"/>
        </w:rPr>
        <w:fldChar w:fldCharType="begin"/>
      </w:r>
      <w:r w:rsidRPr="00A04969">
        <w:rPr>
          <w:rFonts w:ascii="Times New Roman" w:hAnsi="Times New Roman" w:cs="Times New Roman"/>
          <w:sz w:val="20"/>
          <w:szCs w:val="20"/>
        </w:rPr>
        <w:instrText xml:space="preserve"> NOTEREF _Ref334001400 \h </w:instrText>
      </w:r>
      <w:r w:rsidRPr="00A04969">
        <w:rPr>
          <w:rFonts w:ascii="Times New Roman" w:hAnsi="Times New Roman" w:cs="Times New Roman"/>
          <w:sz w:val="20"/>
          <w:szCs w:val="20"/>
        </w:rPr>
      </w:r>
      <w:r w:rsidRPr="00A04969">
        <w:rPr>
          <w:rFonts w:ascii="Times New Roman" w:hAnsi="Times New Roman" w:cs="Times New Roman"/>
          <w:sz w:val="20"/>
          <w:szCs w:val="20"/>
        </w:rPr>
        <w:fldChar w:fldCharType="separate"/>
      </w:r>
      <w:r>
        <w:rPr>
          <w:rFonts w:ascii="Times New Roman" w:hAnsi="Times New Roman" w:cs="Times New Roman"/>
          <w:sz w:val="20"/>
          <w:szCs w:val="20"/>
        </w:rPr>
        <w:t>127</w:t>
      </w:r>
      <w:r w:rsidRPr="00A04969">
        <w:rPr>
          <w:rFonts w:ascii="Times New Roman" w:hAnsi="Times New Roman" w:cs="Times New Roman"/>
          <w:sz w:val="20"/>
          <w:szCs w:val="20"/>
        </w:rPr>
        <w:fldChar w:fldCharType="end"/>
      </w:r>
      <w:r w:rsidRPr="00A04969">
        <w:rPr>
          <w:rFonts w:ascii="Times New Roman" w:hAnsi="Times New Roman" w:cs="Times New Roman"/>
          <w:sz w:val="20"/>
          <w:szCs w:val="20"/>
        </w:rPr>
        <w:t xml:space="preserve"> at 6.</w:t>
      </w:r>
      <w:proofErr w:type="gramEnd"/>
    </w:p>
  </w:footnote>
  <w:footnote w:id="305">
    <w:p w14:paraId="0187B53F" w14:textId="69B22ECB"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proofErr w:type="gramStart"/>
      <w:r w:rsidRPr="00A04969">
        <w:rPr>
          <w:rFonts w:ascii="Times New Roman" w:hAnsi="Times New Roman" w:cs="Times New Roman"/>
          <w:sz w:val="20"/>
          <w:szCs w:val="20"/>
        </w:rPr>
        <w:t xml:space="preserve">AMSP 2015, </w:t>
      </w:r>
      <w:r w:rsidRPr="00A04969">
        <w:rPr>
          <w:rFonts w:ascii="Times New Roman" w:hAnsi="Times New Roman" w:cs="Times New Roman"/>
          <w:i/>
          <w:sz w:val="20"/>
          <w:szCs w:val="20"/>
        </w:rPr>
        <w:t>supra</w:t>
      </w:r>
      <w:r w:rsidRPr="00A04969">
        <w:rPr>
          <w:rFonts w:ascii="Times New Roman" w:hAnsi="Times New Roman" w:cs="Times New Roman"/>
          <w:sz w:val="20"/>
          <w:szCs w:val="20"/>
        </w:rPr>
        <w:t xml:space="preserve"> n. </w:t>
      </w:r>
      <w:r w:rsidRPr="00A04969">
        <w:rPr>
          <w:rFonts w:ascii="Times New Roman" w:hAnsi="Times New Roman" w:cs="Times New Roman"/>
          <w:sz w:val="20"/>
          <w:szCs w:val="20"/>
        </w:rPr>
        <w:fldChar w:fldCharType="begin"/>
      </w:r>
      <w:r w:rsidRPr="00A04969">
        <w:rPr>
          <w:rFonts w:ascii="Times New Roman" w:hAnsi="Times New Roman" w:cs="Times New Roman"/>
          <w:sz w:val="20"/>
          <w:szCs w:val="20"/>
        </w:rPr>
        <w:instrText xml:space="preserve"> NOTEREF _Ref334006431 \h </w:instrText>
      </w:r>
      <w:r w:rsidRPr="00A04969">
        <w:rPr>
          <w:rFonts w:ascii="Times New Roman" w:hAnsi="Times New Roman" w:cs="Times New Roman"/>
          <w:sz w:val="20"/>
          <w:szCs w:val="20"/>
        </w:rPr>
      </w:r>
      <w:r w:rsidRPr="00A04969">
        <w:rPr>
          <w:rFonts w:ascii="Times New Roman" w:hAnsi="Times New Roman" w:cs="Times New Roman"/>
          <w:sz w:val="20"/>
          <w:szCs w:val="20"/>
        </w:rPr>
        <w:fldChar w:fldCharType="separate"/>
      </w:r>
      <w:r>
        <w:rPr>
          <w:rFonts w:ascii="Times New Roman" w:hAnsi="Times New Roman" w:cs="Times New Roman"/>
          <w:sz w:val="20"/>
          <w:szCs w:val="20"/>
        </w:rPr>
        <w:t>190</w:t>
      </w:r>
      <w:r w:rsidRPr="00A04969">
        <w:rPr>
          <w:rFonts w:ascii="Times New Roman" w:hAnsi="Times New Roman" w:cs="Times New Roman"/>
          <w:sz w:val="20"/>
          <w:szCs w:val="20"/>
        </w:rPr>
        <w:fldChar w:fldCharType="end"/>
      </w:r>
      <w:r w:rsidRPr="00A04969">
        <w:rPr>
          <w:rFonts w:ascii="Times New Roman" w:hAnsi="Times New Roman" w:cs="Times New Roman"/>
          <w:sz w:val="20"/>
          <w:szCs w:val="20"/>
        </w:rPr>
        <w:t>, Strategic Action 7.4.1.</w:t>
      </w:r>
      <w:proofErr w:type="gramEnd"/>
    </w:p>
  </w:footnote>
  <w:footnote w:id="306">
    <w:p w14:paraId="04892FC7" w14:textId="592C8C7B"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proofErr w:type="gramStart"/>
      <w:r w:rsidRPr="00A04969">
        <w:rPr>
          <w:rFonts w:ascii="Times New Roman" w:hAnsi="Times New Roman" w:cs="Times New Roman"/>
          <w:sz w:val="20"/>
          <w:szCs w:val="20"/>
        </w:rPr>
        <w:t xml:space="preserve">PAME Offshore Oil and Gas, </w:t>
      </w:r>
      <w:r w:rsidRPr="00A04969">
        <w:rPr>
          <w:rFonts w:ascii="Times New Roman" w:hAnsi="Times New Roman" w:cs="Times New Roman"/>
          <w:i/>
          <w:sz w:val="20"/>
          <w:szCs w:val="20"/>
        </w:rPr>
        <w:t>supra</w:t>
      </w:r>
      <w:r w:rsidRPr="00A04969">
        <w:rPr>
          <w:rFonts w:ascii="Times New Roman" w:hAnsi="Times New Roman" w:cs="Times New Roman"/>
          <w:sz w:val="20"/>
          <w:szCs w:val="20"/>
        </w:rPr>
        <w:t xml:space="preserve"> n. </w:t>
      </w:r>
      <w:r w:rsidRPr="00A04969">
        <w:rPr>
          <w:rFonts w:ascii="Times New Roman" w:hAnsi="Times New Roman" w:cs="Times New Roman"/>
          <w:sz w:val="20"/>
          <w:szCs w:val="20"/>
        </w:rPr>
        <w:fldChar w:fldCharType="begin"/>
      </w:r>
      <w:r w:rsidRPr="00A04969">
        <w:rPr>
          <w:rFonts w:ascii="Times New Roman" w:hAnsi="Times New Roman" w:cs="Times New Roman"/>
          <w:sz w:val="20"/>
          <w:szCs w:val="20"/>
        </w:rPr>
        <w:instrText xml:space="preserve"> NOTEREF _Ref333994849 \h </w:instrText>
      </w:r>
      <w:r w:rsidRPr="00A04969">
        <w:rPr>
          <w:rFonts w:ascii="Times New Roman" w:hAnsi="Times New Roman" w:cs="Times New Roman"/>
          <w:sz w:val="20"/>
          <w:szCs w:val="20"/>
        </w:rPr>
      </w:r>
      <w:r w:rsidRPr="00A04969">
        <w:rPr>
          <w:rFonts w:ascii="Times New Roman" w:hAnsi="Times New Roman" w:cs="Times New Roman"/>
          <w:sz w:val="20"/>
          <w:szCs w:val="20"/>
        </w:rPr>
        <w:fldChar w:fldCharType="separate"/>
      </w:r>
      <w:r>
        <w:rPr>
          <w:rFonts w:ascii="Times New Roman" w:hAnsi="Times New Roman" w:cs="Times New Roman"/>
          <w:sz w:val="20"/>
          <w:szCs w:val="20"/>
        </w:rPr>
        <w:t>78</w:t>
      </w:r>
      <w:r w:rsidRPr="00A04969">
        <w:rPr>
          <w:rFonts w:ascii="Times New Roman" w:hAnsi="Times New Roman" w:cs="Times New Roman"/>
          <w:sz w:val="20"/>
          <w:szCs w:val="20"/>
        </w:rPr>
        <w:fldChar w:fldCharType="end"/>
      </w:r>
      <w:r w:rsidRPr="00A04969">
        <w:rPr>
          <w:rFonts w:ascii="Times New Roman" w:hAnsi="Times New Roman" w:cs="Times New Roman"/>
          <w:sz w:val="20"/>
          <w:szCs w:val="20"/>
        </w:rPr>
        <w:t xml:space="preserve"> at 9, 11.</w:t>
      </w:r>
      <w:proofErr w:type="gramEnd"/>
    </w:p>
  </w:footnote>
  <w:footnote w:id="307">
    <w:p w14:paraId="16651619" w14:textId="0D186DEC"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proofErr w:type="gramStart"/>
      <w:r w:rsidRPr="00A04969">
        <w:rPr>
          <w:rFonts w:ascii="Times New Roman" w:hAnsi="Times New Roman" w:cs="Times New Roman"/>
          <w:sz w:val="20"/>
          <w:szCs w:val="20"/>
        </w:rPr>
        <w:t xml:space="preserve">IFC Good Practice Handbook, </w:t>
      </w:r>
      <w:r w:rsidRPr="00A04969">
        <w:rPr>
          <w:rFonts w:ascii="Times New Roman" w:hAnsi="Times New Roman" w:cs="Times New Roman"/>
          <w:i/>
          <w:sz w:val="20"/>
          <w:szCs w:val="20"/>
        </w:rPr>
        <w:t>supra</w:t>
      </w:r>
      <w:r w:rsidRPr="00A04969">
        <w:rPr>
          <w:rFonts w:ascii="Times New Roman" w:hAnsi="Times New Roman" w:cs="Times New Roman"/>
          <w:sz w:val="20"/>
          <w:szCs w:val="20"/>
        </w:rPr>
        <w:t xml:space="preserve"> n. </w:t>
      </w:r>
      <w:r w:rsidRPr="00A04969">
        <w:rPr>
          <w:rFonts w:ascii="Times New Roman" w:hAnsi="Times New Roman" w:cs="Times New Roman"/>
          <w:sz w:val="20"/>
          <w:szCs w:val="20"/>
        </w:rPr>
        <w:fldChar w:fldCharType="begin"/>
      </w:r>
      <w:r w:rsidRPr="00A04969">
        <w:rPr>
          <w:rFonts w:ascii="Times New Roman" w:hAnsi="Times New Roman" w:cs="Times New Roman"/>
          <w:sz w:val="20"/>
          <w:szCs w:val="20"/>
        </w:rPr>
        <w:instrText xml:space="preserve"> NOTEREF _Ref334083573 \h </w:instrText>
      </w:r>
      <w:r w:rsidRPr="00A04969">
        <w:rPr>
          <w:rFonts w:ascii="Times New Roman" w:hAnsi="Times New Roman" w:cs="Times New Roman"/>
          <w:sz w:val="20"/>
          <w:szCs w:val="20"/>
        </w:rPr>
      </w:r>
      <w:r w:rsidRPr="00A04969">
        <w:rPr>
          <w:rFonts w:ascii="Times New Roman" w:hAnsi="Times New Roman" w:cs="Times New Roman"/>
          <w:sz w:val="20"/>
          <w:szCs w:val="20"/>
        </w:rPr>
        <w:fldChar w:fldCharType="separate"/>
      </w:r>
      <w:r>
        <w:rPr>
          <w:rFonts w:ascii="Times New Roman" w:hAnsi="Times New Roman" w:cs="Times New Roman"/>
          <w:sz w:val="20"/>
          <w:szCs w:val="20"/>
        </w:rPr>
        <w:t>53</w:t>
      </w:r>
      <w:r w:rsidRPr="00A04969">
        <w:rPr>
          <w:rFonts w:ascii="Times New Roman" w:hAnsi="Times New Roman" w:cs="Times New Roman"/>
          <w:sz w:val="20"/>
          <w:szCs w:val="20"/>
        </w:rPr>
        <w:fldChar w:fldCharType="end"/>
      </w:r>
      <w:r w:rsidRPr="00A04969">
        <w:rPr>
          <w:rFonts w:ascii="Times New Roman" w:hAnsi="Times New Roman" w:cs="Times New Roman"/>
          <w:sz w:val="20"/>
          <w:szCs w:val="20"/>
        </w:rPr>
        <w:t xml:space="preserve"> at 54.</w:t>
      </w:r>
      <w:proofErr w:type="gramEnd"/>
    </w:p>
  </w:footnote>
  <w:footnote w:id="308">
    <w:p w14:paraId="51DAFB8F" w14:textId="098405D8"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proofErr w:type="gramStart"/>
      <w:r w:rsidRPr="00A04969">
        <w:rPr>
          <w:rFonts w:ascii="Times New Roman" w:hAnsi="Times New Roman" w:cs="Times New Roman"/>
          <w:bCs/>
          <w:sz w:val="20"/>
          <w:szCs w:val="20"/>
        </w:rPr>
        <w:t>FPIC Methodologies Report</w:t>
      </w:r>
      <w:r w:rsidRPr="00A04969">
        <w:rPr>
          <w:rFonts w:ascii="Times New Roman" w:hAnsi="Times New Roman" w:cs="Times New Roman"/>
          <w:sz w:val="20"/>
          <w:szCs w:val="20"/>
        </w:rPr>
        <w:t xml:space="preserve">, </w:t>
      </w:r>
      <w:r w:rsidRPr="00A04969">
        <w:rPr>
          <w:rFonts w:ascii="Times New Roman" w:hAnsi="Times New Roman" w:cs="Times New Roman"/>
          <w:i/>
          <w:sz w:val="20"/>
          <w:szCs w:val="20"/>
        </w:rPr>
        <w:t>supra</w:t>
      </w:r>
      <w:r w:rsidRPr="00A04969">
        <w:rPr>
          <w:rFonts w:ascii="Times New Roman" w:hAnsi="Times New Roman" w:cs="Times New Roman"/>
          <w:sz w:val="20"/>
          <w:szCs w:val="20"/>
        </w:rPr>
        <w:t xml:space="preserve"> n. </w:t>
      </w:r>
      <w:r w:rsidRPr="00A04969">
        <w:rPr>
          <w:rFonts w:ascii="Times New Roman" w:hAnsi="Times New Roman" w:cs="Times New Roman"/>
          <w:sz w:val="20"/>
          <w:szCs w:val="20"/>
        </w:rPr>
        <w:fldChar w:fldCharType="begin"/>
      </w:r>
      <w:r w:rsidRPr="00A04969">
        <w:rPr>
          <w:rFonts w:ascii="Times New Roman" w:hAnsi="Times New Roman" w:cs="Times New Roman"/>
          <w:sz w:val="20"/>
          <w:szCs w:val="20"/>
        </w:rPr>
        <w:instrText xml:space="preserve"> NOTEREF _Ref334008603 \h </w:instrText>
      </w:r>
      <w:r w:rsidRPr="00A04969">
        <w:rPr>
          <w:rFonts w:ascii="Times New Roman" w:hAnsi="Times New Roman" w:cs="Times New Roman"/>
          <w:sz w:val="20"/>
          <w:szCs w:val="20"/>
        </w:rPr>
      </w:r>
      <w:r w:rsidRPr="00A04969">
        <w:rPr>
          <w:rFonts w:ascii="Times New Roman" w:hAnsi="Times New Roman" w:cs="Times New Roman"/>
          <w:sz w:val="20"/>
          <w:szCs w:val="20"/>
        </w:rPr>
        <w:fldChar w:fldCharType="separate"/>
      </w:r>
      <w:r>
        <w:rPr>
          <w:rFonts w:ascii="Times New Roman" w:hAnsi="Times New Roman" w:cs="Times New Roman"/>
          <w:sz w:val="20"/>
          <w:szCs w:val="20"/>
        </w:rPr>
        <w:t>120</w:t>
      </w:r>
      <w:r w:rsidRPr="00A04969">
        <w:rPr>
          <w:rFonts w:ascii="Times New Roman" w:hAnsi="Times New Roman" w:cs="Times New Roman"/>
          <w:sz w:val="20"/>
          <w:szCs w:val="20"/>
        </w:rPr>
        <w:fldChar w:fldCharType="end"/>
      </w:r>
      <w:r w:rsidRPr="00A04969">
        <w:rPr>
          <w:rFonts w:ascii="Times New Roman" w:hAnsi="Times New Roman" w:cs="Times New Roman"/>
          <w:sz w:val="20"/>
          <w:szCs w:val="20"/>
        </w:rPr>
        <w:t xml:space="preserve"> ¶ 36.</w:t>
      </w:r>
      <w:proofErr w:type="gramEnd"/>
      <w:r w:rsidRPr="00A04969">
        <w:rPr>
          <w:rFonts w:ascii="Times New Roman" w:hAnsi="Times New Roman" w:cs="Times New Roman"/>
          <w:sz w:val="20"/>
          <w:szCs w:val="20"/>
        </w:rPr>
        <w:t xml:space="preserve"> </w:t>
      </w:r>
    </w:p>
  </w:footnote>
  <w:footnote w:id="309">
    <w:p w14:paraId="71FD7753" w14:textId="0B7C4FAB" w:rsidR="00D43BBB" w:rsidRPr="00A04969" w:rsidRDefault="00D43BBB" w:rsidP="002420B7">
      <w:pPr>
        <w:widowControl w:val="0"/>
        <w:autoSpaceDE w:val="0"/>
        <w:autoSpaceDN w:val="0"/>
        <w:adjustRightInd w:val="0"/>
        <w:rPr>
          <w:sz w:val="20"/>
          <w:szCs w:val="20"/>
          <w:lang w:val="en-US"/>
        </w:rPr>
      </w:pPr>
      <w:r w:rsidRPr="00A04969">
        <w:rPr>
          <w:rStyle w:val="FootnoteReference"/>
          <w:sz w:val="20"/>
          <w:szCs w:val="20"/>
        </w:rPr>
        <w:footnoteRef/>
      </w:r>
      <w:r w:rsidRPr="00A04969">
        <w:rPr>
          <w:sz w:val="20"/>
          <w:szCs w:val="20"/>
        </w:rPr>
        <w:t xml:space="preserve"> </w:t>
      </w:r>
      <w:proofErr w:type="gramStart"/>
      <w:r w:rsidRPr="00A04969">
        <w:rPr>
          <w:i/>
          <w:sz w:val="20"/>
          <w:szCs w:val="20"/>
        </w:rPr>
        <w:t>Id</w:t>
      </w:r>
      <w:r w:rsidRPr="00A04969">
        <w:rPr>
          <w:sz w:val="20"/>
          <w:szCs w:val="20"/>
        </w:rPr>
        <w:t>.; ILO No. 169 art.</w:t>
      </w:r>
      <w:proofErr w:type="gramEnd"/>
      <w:r w:rsidRPr="00A04969">
        <w:rPr>
          <w:sz w:val="20"/>
          <w:szCs w:val="20"/>
        </w:rPr>
        <w:t xml:space="preserve"> </w:t>
      </w:r>
      <w:proofErr w:type="gramStart"/>
      <w:r w:rsidRPr="00A04969">
        <w:rPr>
          <w:sz w:val="20"/>
          <w:szCs w:val="20"/>
        </w:rPr>
        <w:t>15(2).</w:t>
      </w:r>
      <w:proofErr w:type="gramEnd"/>
    </w:p>
  </w:footnote>
  <w:footnote w:id="310">
    <w:p w14:paraId="6FDBE449" w14:textId="6E5C2A89" w:rsidR="00D43BBB" w:rsidRPr="00A04969" w:rsidRDefault="00D43BBB" w:rsidP="002420B7">
      <w:pPr>
        <w:rPr>
          <w:rFonts w:eastAsia="Times New Roman"/>
          <w:color w:val="000000"/>
          <w:sz w:val="20"/>
          <w:szCs w:val="20"/>
          <w:lang w:val="en-US"/>
        </w:rPr>
      </w:pPr>
      <w:r w:rsidRPr="00A04969">
        <w:rPr>
          <w:rStyle w:val="FootnoteReference"/>
          <w:sz w:val="20"/>
          <w:szCs w:val="20"/>
        </w:rPr>
        <w:footnoteRef/>
      </w:r>
      <w:r w:rsidRPr="00A04969">
        <w:rPr>
          <w:sz w:val="20"/>
          <w:szCs w:val="20"/>
        </w:rPr>
        <w:t xml:space="preserve"> Russia, “On Guarantees of Rights,” 1999, art. </w:t>
      </w:r>
      <w:proofErr w:type="gramStart"/>
      <w:r w:rsidRPr="00A04969">
        <w:rPr>
          <w:sz w:val="20"/>
          <w:szCs w:val="20"/>
        </w:rPr>
        <w:t xml:space="preserve">8; </w:t>
      </w:r>
      <w:r w:rsidRPr="00A04969">
        <w:rPr>
          <w:sz w:val="20"/>
          <w:szCs w:val="20"/>
          <w:lang w:val="en-US"/>
        </w:rPr>
        <w:t>Federal Law 225-FZ, On Production Sharing Agreements, art.</w:t>
      </w:r>
      <w:proofErr w:type="gramEnd"/>
      <w:r w:rsidRPr="00A04969">
        <w:rPr>
          <w:sz w:val="20"/>
          <w:szCs w:val="20"/>
          <w:lang w:val="en-US"/>
        </w:rPr>
        <w:t xml:space="preserve"> 6 (1995); </w:t>
      </w:r>
      <w:r w:rsidRPr="00A04969">
        <w:rPr>
          <w:rFonts w:eastAsia="Times New Roman"/>
          <w:color w:val="000000"/>
          <w:sz w:val="20"/>
          <w:szCs w:val="20"/>
          <w:lang w:val="en-US"/>
        </w:rPr>
        <w:t>Administrative Order 565 by Ministry of Regional Development, on the Approved Guidance for Calculating Loss Caused to Indigenous Small Peoples in Far North, Siberia and Far East by Company/Individual Economic and Other Activity in Areas of Traditional Indigenous Small Peoples Settlement and Economic Activity (2009).</w:t>
      </w:r>
    </w:p>
  </w:footnote>
  <w:footnote w:id="311">
    <w:p w14:paraId="1819809F" w14:textId="0F88AF71"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r w:rsidRPr="00A04969">
        <w:rPr>
          <w:rFonts w:ascii="Times New Roman" w:hAnsi="Times New Roman" w:cs="Times New Roman"/>
          <w:color w:val="1A1A1A"/>
          <w:sz w:val="20"/>
          <w:szCs w:val="20"/>
        </w:rPr>
        <w:t>Nunavut Land Claims Agreement</w:t>
      </w:r>
      <w:r w:rsidRPr="00A04969">
        <w:rPr>
          <w:rFonts w:ascii="Times New Roman" w:hAnsi="Times New Roman" w:cs="Times New Roman"/>
          <w:sz w:val="20"/>
          <w:szCs w:val="20"/>
        </w:rPr>
        <w:t xml:space="preserve">, §§ 6.3.1, 20.3.1, 21.9.4, </w:t>
      </w:r>
    </w:p>
  </w:footnote>
  <w:footnote w:id="312">
    <w:p w14:paraId="60F9753E" w14:textId="7E817775"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proofErr w:type="gramStart"/>
      <w:r w:rsidRPr="00A04969">
        <w:rPr>
          <w:rFonts w:ascii="Times New Roman" w:hAnsi="Times New Roman" w:cs="Times New Roman"/>
          <w:sz w:val="20"/>
          <w:szCs w:val="20"/>
        </w:rPr>
        <w:t xml:space="preserve">ICC Arctic Policy, </w:t>
      </w:r>
      <w:r w:rsidRPr="00A04969">
        <w:rPr>
          <w:rFonts w:ascii="Times New Roman" w:hAnsi="Times New Roman" w:cs="Times New Roman"/>
          <w:i/>
          <w:sz w:val="20"/>
          <w:szCs w:val="20"/>
        </w:rPr>
        <w:t>supra</w:t>
      </w:r>
      <w:r w:rsidRPr="00A04969">
        <w:rPr>
          <w:rFonts w:ascii="Times New Roman" w:hAnsi="Times New Roman" w:cs="Times New Roman"/>
          <w:sz w:val="20"/>
          <w:szCs w:val="20"/>
        </w:rPr>
        <w:t xml:space="preserve"> n. </w:t>
      </w:r>
      <w:r w:rsidRPr="00A04969">
        <w:rPr>
          <w:rFonts w:ascii="Times New Roman" w:hAnsi="Times New Roman" w:cs="Times New Roman"/>
          <w:sz w:val="20"/>
          <w:szCs w:val="20"/>
        </w:rPr>
        <w:fldChar w:fldCharType="begin"/>
      </w:r>
      <w:r w:rsidRPr="00A04969">
        <w:rPr>
          <w:rFonts w:ascii="Times New Roman" w:hAnsi="Times New Roman" w:cs="Times New Roman"/>
          <w:sz w:val="20"/>
          <w:szCs w:val="20"/>
        </w:rPr>
        <w:instrText xml:space="preserve"> NOTEREF _Ref333385533 </w:instrText>
      </w:r>
      <w:r w:rsidRPr="00A04969">
        <w:rPr>
          <w:rFonts w:ascii="Times New Roman" w:hAnsi="Times New Roman" w:cs="Times New Roman"/>
          <w:sz w:val="20"/>
          <w:szCs w:val="20"/>
        </w:rPr>
        <w:fldChar w:fldCharType="separate"/>
      </w:r>
      <w:r>
        <w:rPr>
          <w:rFonts w:ascii="Times New Roman" w:hAnsi="Times New Roman" w:cs="Times New Roman"/>
          <w:sz w:val="20"/>
          <w:szCs w:val="20"/>
        </w:rPr>
        <w:t>92</w:t>
      </w:r>
      <w:r w:rsidRPr="00A04969">
        <w:rPr>
          <w:rFonts w:ascii="Times New Roman" w:hAnsi="Times New Roman" w:cs="Times New Roman"/>
          <w:sz w:val="20"/>
          <w:szCs w:val="20"/>
        </w:rPr>
        <w:fldChar w:fldCharType="end"/>
      </w:r>
      <w:r w:rsidRPr="00A04969">
        <w:rPr>
          <w:rFonts w:ascii="Times New Roman" w:hAnsi="Times New Roman" w:cs="Times New Roman"/>
          <w:sz w:val="20"/>
          <w:szCs w:val="20"/>
        </w:rPr>
        <w:t>.</w:t>
      </w:r>
      <w:proofErr w:type="gramEnd"/>
    </w:p>
  </w:footnote>
  <w:footnote w:id="313">
    <w:p w14:paraId="5215F4A6" w14:textId="1D84B126"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proofErr w:type="gramStart"/>
      <w:r w:rsidRPr="00A04969">
        <w:rPr>
          <w:rFonts w:ascii="Times New Roman" w:hAnsi="Times New Roman" w:cs="Times New Roman"/>
          <w:sz w:val="20"/>
          <w:szCs w:val="20"/>
        </w:rPr>
        <w:t xml:space="preserve">UNHRC 2009, </w:t>
      </w:r>
      <w:r w:rsidRPr="00A04969">
        <w:rPr>
          <w:rFonts w:ascii="Times New Roman" w:hAnsi="Times New Roman" w:cs="Times New Roman"/>
          <w:i/>
          <w:sz w:val="20"/>
          <w:szCs w:val="20"/>
        </w:rPr>
        <w:t>supra</w:t>
      </w:r>
      <w:r w:rsidRPr="00A04969">
        <w:rPr>
          <w:rFonts w:ascii="Times New Roman" w:hAnsi="Times New Roman" w:cs="Times New Roman"/>
          <w:sz w:val="20"/>
          <w:szCs w:val="20"/>
        </w:rPr>
        <w:t xml:space="preserve"> n. </w:t>
      </w:r>
      <w:r w:rsidRPr="00A04969">
        <w:rPr>
          <w:rFonts w:ascii="Times New Roman" w:hAnsi="Times New Roman" w:cs="Times New Roman"/>
          <w:sz w:val="20"/>
          <w:szCs w:val="20"/>
        </w:rPr>
        <w:fldChar w:fldCharType="begin"/>
      </w:r>
      <w:r w:rsidRPr="00A04969">
        <w:rPr>
          <w:rFonts w:ascii="Times New Roman" w:hAnsi="Times New Roman" w:cs="Times New Roman"/>
          <w:sz w:val="20"/>
          <w:szCs w:val="20"/>
        </w:rPr>
        <w:instrText xml:space="preserve"> NOTEREF _Ref334007277 \h </w:instrText>
      </w:r>
      <w:r w:rsidRPr="00A04969">
        <w:rPr>
          <w:rFonts w:ascii="Times New Roman" w:hAnsi="Times New Roman" w:cs="Times New Roman"/>
          <w:sz w:val="20"/>
          <w:szCs w:val="20"/>
        </w:rPr>
      </w:r>
      <w:r w:rsidRPr="00A04969">
        <w:rPr>
          <w:rFonts w:ascii="Times New Roman" w:hAnsi="Times New Roman" w:cs="Times New Roman"/>
          <w:sz w:val="20"/>
          <w:szCs w:val="20"/>
        </w:rPr>
        <w:fldChar w:fldCharType="separate"/>
      </w:r>
      <w:r>
        <w:rPr>
          <w:rFonts w:ascii="Times New Roman" w:hAnsi="Times New Roman" w:cs="Times New Roman"/>
          <w:sz w:val="20"/>
          <w:szCs w:val="20"/>
        </w:rPr>
        <w:t>180</w:t>
      </w:r>
      <w:r w:rsidRPr="00A04969">
        <w:rPr>
          <w:rFonts w:ascii="Times New Roman" w:hAnsi="Times New Roman" w:cs="Times New Roman"/>
          <w:sz w:val="20"/>
          <w:szCs w:val="20"/>
        </w:rPr>
        <w:fldChar w:fldCharType="end"/>
      </w:r>
      <w:r w:rsidRPr="00A04969">
        <w:rPr>
          <w:rFonts w:ascii="Times New Roman" w:hAnsi="Times New Roman" w:cs="Times New Roman"/>
          <w:sz w:val="20"/>
          <w:szCs w:val="20"/>
        </w:rPr>
        <w:t xml:space="preserve"> ¶ 41; Global Compact Good Practice, </w:t>
      </w:r>
      <w:r w:rsidRPr="00A04969">
        <w:rPr>
          <w:rFonts w:ascii="Times New Roman" w:hAnsi="Times New Roman" w:cs="Times New Roman"/>
          <w:i/>
          <w:sz w:val="20"/>
          <w:szCs w:val="20"/>
        </w:rPr>
        <w:t>supra</w:t>
      </w:r>
      <w:r w:rsidRPr="00A04969">
        <w:rPr>
          <w:rFonts w:ascii="Times New Roman" w:hAnsi="Times New Roman" w:cs="Times New Roman"/>
          <w:sz w:val="20"/>
          <w:szCs w:val="20"/>
        </w:rPr>
        <w:t xml:space="preserve"> n. </w:t>
      </w:r>
      <w:r w:rsidRPr="00A04969">
        <w:rPr>
          <w:rFonts w:ascii="Times New Roman" w:hAnsi="Times New Roman" w:cs="Times New Roman"/>
          <w:sz w:val="20"/>
          <w:szCs w:val="20"/>
        </w:rPr>
        <w:fldChar w:fldCharType="begin"/>
      </w:r>
      <w:r w:rsidRPr="00A04969">
        <w:rPr>
          <w:rFonts w:ascii="Times New Roman" w:hAnsi="Times New Roman" w:cs="Times New Roman"/>
          <w:sz w:val="20"/>
          <w:szCs w:val="20"/>
        </w:rPr>
        <w:instrText xml:space="preserve"> NOTEREF _Ref334080159 \h </w:instrText>
      </w:r>
      <w:r w:rsidRPr="00A04969">
        <w:rPr>
          <w:rFonts w:ascii="Times New Roman" w:hAnsi="Times New Roman" w:cs="Times New Roman"/>
          <w:sz w:val="20"/>
          <w:szCs w:val="20"/>
        </w:rPr>
      </w:r>
      <w:r w:rsidRPr="00A04969">
        <w:rPr>
          <w:rFonts w:ascii="Times New Roman" w:hAnsi="Times New Roman" w:cs="Times New Roman"/>
          <w:sz w:val="20"/>
          <w:szCs w:val="20"/>
        </w:rPr>
        <w:fldChar w:fldCharType="separate"/>
      </w:r>
      <w:r>
        <w:rPr>
          <w:rFonts w:ascii="Times New Roman" w:hAnsi="Times New Roman" w:cs="Times New Roman"/>
          <w:sz w:val="20"/>
          <w:szCs w:val="20"/>
        </w:rPr>
        <w:t>40</w:t>
      </w:r>
      <w:r w:rsidRPr="00A04969">
        <w:rPr>
          <w:rFonts w:ascii="Times New Roman" w:hAnsi="Times New Roman" w:cs="Times New Roman"/>
          <w:sz w:val="20"/>
          <w:szCs w:val="20"/>
        </w:rPr>
        <w:fldChar w:fldCharType="end"/>
      </w:r>
      <w:r w:rsidRPr="00A04969">
        <w:rPr>
          <w:rFonts w:ascii="Times New Roman" w:hAnsi="Times New Roman" w:cs="Times New Roman"/>
          <w:sz w:val="20"/>
          <w:szCs w:val="20"/>
        </w:rPr>
        <w:t xml:space="preserve"> at 4.</w:t>
      </w:r>
      <w:proofErr w:type="gramEnd"/>
    </w:p>
  </w:footnote>
  <w:footnote w:id="314">
    <w:p w14:paraId="2F575D9F" w14:textId="44F4E02B" w:rsidR="00D43BBB" w:rsidRPr="00A04969" w:rsidRDefault="00D43BBB" w:rsidP="002420B7">
      <w:pPr>
        <w:widowControl w:val="0"/>
        <w:autoSpaceDE w:val="0"/>
        <w:autoSpaceDN w:val="0"/>
        <w:adjustRightInd w:val="0"/>
        <w:rPr>
          <w:sz w:val="20"/>
          <w:szCs w:val="20"/>
        </w:rPr>
      </w:pPr>
      <w:r w:rsidRPr="00A04969">
        <w:rPr>
          <w:rStyle w:val="FootnoteReference"/>
          <w:sz w:val="20"/>
          <w:szCs w:val="20"/>
        </w:rPr>
        <w:footnoteRef/>
      </w:r>
      <w:r w:rsidRPr="00A04969">
        <w:rPr>
          <w:sz w:val="20"/>
          <w:szCs w:val="20"/>
        </w:rPr>
        <w:t xml:space="preserve"> Koivurova, T. et al. Background Paper Indigenous Peoples in the Arctic (2008).</w:t>
      </w:r>
    </w:p>
  </w:footnote>
  <w:footnote w:id="315">
    <w:p w14:paraId="56F2219A" w14:textId="6EF57243" w:rsidR="00D43BBB" w:rsidRPr="00A04969" w:rsidRDefault="00D43BBB" w:rsidP="002420B7">
      <w:pPr>
        <w:widowControl w:val="0"/>
        <w:autoSpaceDE w:val="0"/>
        <w:autoSpaceDN w:val="0"/>
        <w:adjustRightInd w:val="0"/>
        <w:rPr>
          <w:sz w:val="20"/>
          <w:szCs w:val="20"/>
          <w:lang w:val="en-US"/>
        </w:rPr>
      </w:pPr>
      <w:r w:rsidRPr="00A04969">
        <w:rPr>
          <w:rStyle w:val="FootnoteReference"/>
          <w:sz w:val="20"/>
          <w:szCs w:val="20"/>
        </w:rPr>
        <w:footnoteRef/>
      </w:r>
      <w:r w:rsidRPr="00A04969">
        <w:rPr>
          <w:sz w:val="20"/>
          <w:szCs w:val="20"/>
        </w:rPr>
        <w:t xml:space="preserve"> </w:t>
      </w:r>
      <w:proofErr w:type="gramStart"/>
      <w:r w:rsidRPr="00A04969">
        <w:rPr>
          <w:sz w:val="20"/>
          <w:szCs w:val="20"/>
        </w:rPr>
        <w:t xml:space="preserve">UNHRC 2012, </w:t>
      </w:r>
      <w:r w:rsidRPr="00A04969">
        <w:rPr>
          <w:i/>
          <w:sz w:val="20"/>
          <w:szCs w:val="20"/>
        </w:rPr>
        <w:t>supra</w:t>
      </w:r>
      <w:r w:rsidRPr="00A04969">
        <w:rPr>
          <w:sz w:val="20"/>
          <w:szCs w:val="20"/>
        </w:rPr>
        <w:t xml:space="preserve"> n. </w:t>
      </w:r>
      <w:r w:rsidRPr="00A04969">
        <w:rPr>
          <w:sz w:val="20"/>
          <w:szCs w:val="20"/>
        </w:rPr>
        <w:fldChar w:fldCharType="begin"/>
      </w:r>
      <w:r w:rsidRPr="00A04969">
        <w:rPr>
          <w:sz w:val="20"/>
          <w:szCs w:val="20"/>
        </w:rPr>
        <w:instrText xml:space="preserve"> NOTEREF _Ref334084681 \h </w:instrText>
      </w:r>
      <w:r w:rsidRPr="00A04969">
        <w:rPr>
          <w:sz w:val="20"/>
          <w:szCs w:val="20"/>
        </w:rPr>
      </w:r>
      <w:r w:rsidRPr="00A04969">
        <w:rPr>
          <w:sz w:val="20"/>
          <w:szCs w:val="20"/>
        </w:rPr>
        <w:fldChar w:fldCharType="separate"/>
      </w:r>
      <w:r>
        <w:rPr>
          <w:sz w:val="20"/>
          <w:szCs w:val="20"/>
        </w:rPr>
        <w:t>36</w:t>
      </w:r>
      <w:r w:rsidRPr="00A04969">
        <w:rPr>
          <w:sz w:val="20"/>
          <w:szCs w:val="20"/>
        </w:rPr>
        <w:fldChar w:fldCharType="end"/>
      </w:r>
      <w:r w:rsidRPr="00A04969">
        <w:rPr>
          <w:sz w:val="20"/>
          <w:szCs w:val="20"/>
        </w:rPr>
        <w:t xml:space="preserve"> ¶</w:t>
      </w:r>
      <w:r w:rsidRPr="00A04969">
        <w:rPr>
          <w:sz w:val="20"/>
          <w:szCs w:val="20"/>
          <w:lang w:val="en-US"/>
        </w:rPr>
        <w:t xml:space="preserve"> 84.</w:t>
      </w:r>
      <w:proofErr w:type="gramEnd"/>
    </w:p>
  </w:footnote>
  <w:footnote w:id="316">
    <w:p w14:paraId="2B949B92" w14:textId="4A14CCB1"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proofErr w:type="gramStart"/>
      <w:r w:rsidRPr="00A04969">
        <w:rPr>
          <w:rFonts w:ascii="Times New Roman" w:hAnsi="Times New Roman" w:cs="Times New Roman"/>
          <w:sz w:val="20"/>
          <w:szCs w:val="20"/>
        </w:rPr>
        <w:t>ILO No. 169 art.</w:t>
      </w:r>
      <w:proofErr w:type="gramEnd"/>
      <w:r w:rsidRPr="00A04969">
        <w:rPr>
          <w:rFonts w:ascii="Times New Roman" w:hAnsi="Times New Roman" w:cs="Times New Roman"/>
          <w:sz w:val="20"/>
          <w:szCs w:val="20"/>
        </w:rPr>
        <w:t xml:space="preserve"> 16, UNDRIP art. 10.</w:t>
      </w:r>
    </w:p>
  </w:footnote>
  <w:footnote w:id="317">
    <w:p w14:paraId="2CAB7F41" w14:textId="16769292" w:rsidR="00D43BBB" w:rsidRPr="00A04969" w:rsidRDefault="00D43BBB" w:rsidP="002420B7">
      <w:pPr>
        <w:widowControl w:val="0"/>
        <w:autoSpaceDE w:val="0"/>
        <w:autoSpaceDN w:val="0"/>
        <w:adjustRightInd w:val="0"/>
        <w:rPr>
          <w:sz w:val="20"/>
          <w:szCs w:val="20"/>
          <w:lang w:val="en-US"/>
        </w:rPr>
      </w:pPr>
      <w:r w:rsidRPr="00A04969">
        <w:rPr>
          <w:rStyle w:val="FootnoteReference"/>
          <w:sz w:val="20"/>
          <w:szCs w:val="20"/>
        </w:rPr>
        <w:footnoteRef/>
      </w:r>
      <w:r w:rsidRPr="00A04969">
        <w:rPr>
          <w:sz w:val="20"/>
          <w:szCs w:val="20"/>
        </w:rPr>
        <w:t xml:space="preserve"> </w:t>
      </w:r>
      <w:r w:rsidRPr="00A04969">
        <w:rPr>
          <w:sz w:val="20"/>
          <w:szCs w:val="20"/>
          <w:lang w:val="en-US"/>
        </w:rPr>
        <w:t>Presidential Ukase No. 397 of 1992; On Territories of Traditional Use of Natural Resources by Indigenous Minority People of the North, Siberia and the Far East of the Russian Federation’ (2001).</w:t>
      </w:r>
    </w:p>
  </w:footnote>
  <w:footnote w:id="318">
    <w:p w14:paraId="59B364F6" w14:textId="0BA7C646"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proofErr w:type="gramStart"/>
      <w:r w:rsidRPr="00A04969">
        <w:rPr>
          <w:rFonts w:ascii="Times New Roman" w:hAnsi="Times New Roman" w:cs="Times New Roman"/>
          <w:sz w:val="20"/>
          <w:szCs w:val="20"/>
        </w:rPr>
        <w:t>“On regulation of land relations in the territory of Nenets Autonomous District” arts.</w:t>
      </w:r>
      <w:proofErr w:type="gramEnd"/>
      <w:r w:rsidRPr="00A04969">
        <w:rPr>
          <w:rFonts w:ascii="Times New Roman" w:hAnsi="Times New Roman" w:cs="Times New Roman"/>
          <w:sz w:val="20"/>
          <w:szCs w:val="20"/>
        </w:rPr>
        <w:t xml:space="preserve"> </w:t>
      </w:r>
      <w:proofErr w:type="gramStart"/>
      <w:r w:rsidRPr="00A04969">
        <w:rPr>
          <w:rFonts w:ascii="Times New Roman" w:hAnsi="Times New Roman" w:cs="Times New Roman"/>
          <w:sz w:val="20"/>
          <w:szCs w:val="20"/>
        </w:rPr>
        <w:t>19 and 21 (2005)).</w:t>
      </w:r>
      <w:proofErr w:type="gramEnd"/>
    </w:p>
  </w:footnote>
  <w:footnote w:id="319">
    <w:p w14:paraId="279FF1F5" w14:textId="5AD5D721"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proofErr w:type="gramStart"/>
      <w:r w:rsidRPr="00A04969">
        <w:rPr>
          <w:rFonts w:ascii="Times New Roman" w:hAnsi="Times New Roman" w:cs="Times New Roman"/>
          <w:i/>
          <w:sz w:val="20"/>
          <w:szCs w:val="20"/>
        </w:rPr>
        <w:t>Id.</w:t>
      </w:r>
      <w:r w:rsidRPr="00A04969">
        <w:rPr>
          <w:rFonts w:ascii="Times New Roman" w:hAnsi="Times New Roman" w:cs="Times New Roman"/>
          <w:sz w:val="20"/>
          <w:szCs w:val="20"/>
        </w:rPr>
        <w:t>, art.</w:t>
      </w:r>
      <w:proofErr w:type="gramEnd"/>
      <w:r w:rsidRPr="00A04969">
        <w:rPr>
          <w:rFonts w:ascii="Times New Roman" w:hAnsi="Times New Roman" w:cs="Times New Roman"/>
          <w:sz w:val="20"/>
          <w:szCs w:val="20"/>
        </w:rPr>
        <w:t xml:space="preserve"> 22.</w:t>
      </w:r>
    </w:p>
  </w:footnote>
  <w:footnote w:id="320">
    <w:p w14:paraId="6D333165" w14:textId="283768D3"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UNDRIP art. </w:t>
      </w:r>
      <w:proofErr w:type="gramStart"/>
      <w:r w:rsidRPr="00A04969">
        <w:rPr>
          <w:rFonts w:ascii="Times New Roman" w:hAnsi="Times New Roman" w:cs="Times New Roman"/>
          <w:sz w:val="20"/>
          <w:szCs w:val="20"/>
        </w:rPr>
        <w:t>29(2).</w:t>
      </w:r>
      <w:proofErr w:type="gramEnd"/>
      <w:r w:rsidRPr="00A04969">
        <w:rPr>
          <w:rFonts w:ascii="Times New Roman" w:hAnsi="Times New Roman" w:cs="Times New Roman"/>
          <w:sz w:val="20"/>
          <w:szCs w:val="20"/>
        </w:rPr>
        <w:t xml:space="preserve"> </w:t>
      </w:r>
    </w:p>
  </w:footnote>
  <w:footnote w:id="321">
    <w:p w14:paraId="57215186" w14:textId="6C2C1449" w:rsidR="00D43BBB" w:rsidRPr="00A04969" w:rsidRDefault="00D43BBB" w:rsidP="002420B7">
      <w:pPr>
        <w:widowControl w:val="0"/>
        <w:autoSpaceDE w:val="0"/>
        <w:autoSpaceDN w:val="0"/>
        <w:adjustRightInd w:val="0"/>
        <w:rPr>
          <w:sz w:val="20"/>
          <w:szCs w:val="20"/>
          <w:lang w:val="en-US"/>
        </w:rPr>
      </w:pPr>
      <w:r w:rsidRPr="00A04969">
        <w:rPr>
          <w:rStyle w:val="FootnoteReference"/>
          <w:sz w:val="20"/>
          <w:szCs w:val="20"/>
        </w:rPr>
        <w:footnoteRef/>
      </w:r>
      <w:r w:rsidRPr="00A04969">
        <w:rPr>
          <w:sz w:val="20"/>
          <w:szCs w:val="20"/>
        </w:rPr>
        <w:t xml:space="preserve"> UNDRIP art. </w:t>
      </w:r>
      <w:proofErr w:type="gramStart"/>
      <w:r w:rsidRPr="00A04969">
        <w:rPr>
          <w:sz w:val="20"/>
          <w:szCs w:val="20"/>
        </w:rPr>
        <w:t>11(2); ICCPR art.</w:t>
      </w:r>
      <w:proofErr w:type="gramEnd"/>
      <w:r w:rsidRPr="00A04969">
        <w:rPr>
          <w:sz w:val="20"/>
          <w:szCs w:val="20"/>
        </w:rPr>
        <w:t xml:space="preserve"> 27.</w:t>
      </w:r>
    </w:p>
  </w:footnote>
  <w:footnote w:id="322">
    <w:p w14:paraId="139D9E43" w14:textId="512E3600"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proofErr w:type="gramStart"/>
      <w:r w:rsidRPr="00A04969">
        <w:rPr>
          <w:rFonts w:ascii="Times New Roman" w:eastAsia="Times New Roman" w:hAnsi="Times New Roman" w:cs="Times New Roman"/>
          <w:color w:val="000000"/>
          <w:sz w:val="20"/>
          <w:szCs w:val="20"/>
        </w:rPr>
        <w:t xml:space="preserve">IARPC Principles, </w:t>
      </w:r>
      <w:r w:rsidRPr="00A04969">
        <w:rPr>
          <w:rFonts w:ascii="Times New Roman" w:eastAsia="Times New Roman" w:hAnsi="Times New Roman" w:cs="Times New Roman"/>
          <w:i/>
          <w:color w:val="000000"/>
          <w:sz w:val="20"/>
          <w:szCs w:val="20"/>
        </w:rPr>
        <w:t>supra</w:t>
      </w:r>
      <w:r w:rsidRPr="00A04969">
        <w:rPr>
          <w:rFonts w:ascii="Times New Roman" w:eastAsia="Times New Roman" w:hAnsi="Times New Roman" w:cs="Times New Roman"/>
          <w:color w:val="000000"/>
          <w:sz w:val="20"/>
          <w:szCs w:val="20"/>
        </w:rPr>
        <w:t xml:space="preserve"> n. </w:t>
      </w:r>
      <w:r w:rsidRPr="00A04969">
        <w:rPr>
          <w:rFonts w:ascii="Times New Roman" w:eastAsia="Times New Roman" w:hAnsi="Times New Roman" w:cs="Times New Roman"/>
          <w:color w:val="000000"/>
          <w:sz w:val="20"/>
          <w:szCs w:val="20"/>
        </w:rPr>
        <w:fldChar w:fldCharType="begin"/>
      </w:r>
      <w:r w:rsidRPr="00A04969">
        <w:rPr>
          <w:rFonts w:ascii="Times New Roman" w:eastAsia="Times New Roman" w:hAnsi="Times New Roman" w:cs="Times New Roman"/>
          <w:color w:val="000000"/>
          <w:sz w:val="20"/>
          <w:szCs w:val="20"/>
        </w:rPr>
        <w:instrText xml:space="preserve"> NOTEREF _Ref334083103 \h </w:instrText>
      </w:r>
      <w:r w:rsidRPr="00A04969">
        <w:rPr>
          <w:rFonts w:ascii="Times New Roman" w:eastAsia="Times New Roman" w:hAnsi="Times New Roman" w:cs="Times New Roman"/>
          <w:color w:val="000000"/>
          <w:sz w:val="20"/>
          <w:szCs w:val="20"/>
        </w:rPr>
      </w:r>
      <w:r w:rsidRPr="00A04969">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color w:val="000000"/>
          <w:sz w:val="20"/>
          <w:szCs w:val="20"/>
        </w:rPr>
        <w:t>57</w:t>
      </w:r>
      <w:r w:rsidRPr="00A04969">
        <w:rPr>
          <w:rFonts w:ascii="Times New Roman" w:eastAsia="Times New Roman" w:hAnsi="Times New Roman" w:cs="Times New Roman"/>
          <w:color w:val="000000"/>
          <w:sz w:val="20"/>
          <w:szCs w:val="20"/>
        </w:rPr>
        <w:fldChar w:fldCharType="end"/>
      </w:r>
      <w:r w:rsidRPr="00A04969">
        <w:rPr>
          <w:rFonts w:ascii="Times New Roman" w:eastAsia="Times New Roman" w:hAnsi="Times New Roman" w:cs="Times New Roman"/>
          <w:color w:val="000000"/>
          <w:sz w:val="20"/>
          <w:szCs w:val="20"/>
        </w:rPr>
        <w:t xml:space="preserve">; </w:t>
      </w:r>
      <w:r w:rsidRPr="00A04969">
        <w:rPr>
          <w:rFonts w:ascii="Times New Roman" w:hAnsi="Times New Roman" w:cs="Times New Roman"/>
          <w:sz w:val="20"/>
          <w:szCs w:val="20"/>
        </w:rPr>
        <w:t xml:space="preserve">IUCN Standard, </w:t>
      </w:r>
      <w:r w:rsidRPr="00A04969">
        <w:rPr>
          <w:rFonts w:ascii="Times New Roman" w:hAnsi="Times New Roman" w:cs="Times New Roman"/>
          <w:i/>
          <w:sz w:val="20"/>
          <w:szCs w:val="20"/>
        </w:rPr>
        <w:t>supra</w:t>
      </w:r>
      <w:r w:rsidRPr="00A04969">
        <w:rPr>
          <w:rFonts w:ascii="Times New Roman" w:hAnsi="Times New Roman" w:cs="Times New Roman"/>
          <w:sz w:val="20"/>
          <w:szCs w:val="20"/>
        </w:rPr>
        <w:t xml:space="preserve"> n. </w:t>
      </w:r>
      <w:r w:rsidRPr="00A04969">
        <w:rPr>
          <w:rFonts w:ascii="Times New Roman" w:hAnsi="Times New Roman" w:cs="Times New Roman"/>
          <w:sz w:val="20"/>
          <w:szCs w:val="20"/>
        </w:rPr>
        <w:fldChar w:fldCharType="begin"/>
      </w:r>
      <w:r w:rsidRPr="00A04969">
        <w:rPr>
          <w:rFonts w:ascii="Times New Roman" w:hAnsi="Times New Roman" w:cs="Times New Roman"/>
          <w:sz w:val="20"/>
          <w:szCs w:val="20"/>
        </w:rPr>
        <w:instrText xml:space="preserve"> NOTEREF _Ref334083973 \h </w:instrText>
      </w:r>
      <w:r w:rsidRPr="00A04969">
        <w:rPr>
          <w:rFonts w:ascii="Times New Roman" w:hAnsi="Times New Roman" w:cs="Times New Roman"/>
          <w:sz w:val="20"/>
          <w:szCs w:val="20"/>
        </w:rPr>
      </w:r>
      <w:r w:rsidRPr="00A04969">
        <w:rPr>
          <w:rFonts w:ascii="Times New Roman" w:hAnsi="Times New Roman" w:cs="Times New Roman"/>
          <w:sz w:val="20"/>
          <w:szCs w:val="20"/>
        </w:rPr>
        <w:fldChar w:fldCharType="separate"/>
      </w:r>
      <w:r>
        <w:rPr>
          <w:rFonts w:ascii="Times New Roman" w:hAnsi="Times New Roman" w:cs="Times New Roman"/>
          <w:sz w:val="20"/>
          <w:szCs w:val="20"/>
        </w:rPr>
        <w:t>59</w:t>
      </w:r>
      <w:r w:rsidRPr="00A04969">
        <w:rPr>
          <w:rFonts w:ascii="Times New Roman" w:hAnsi="Times New Roman" w:cs="Times New Roman"/>
          <w:sz w:val="20"/>
          <w:szCs w:val="20"/>
        </w:rPr>
        <w:fldChar w:fldCharType="end"/>
      </w:r>
      <w:r w:rsidRPr="00A04969">
        <w:rPr>
          <w:rFonts w:ascii="Times New Roman" w:hAnsi="Times New Roman" w:cs="Times New Roman"/>
          <w:sz w:val="20"/>
          <w:szCs w:val="20"/>
        </w:rPr>
        <w:t xml:space="preserve"> </w:t>
      </w:r>
      <w:r w:rsidRPr="00A04969">
        <w:rPr>
          <w:rFonts w:ascii="Times New Roman" w:eastAsia="Times New Roman" w:hAnsi="Times New Roman" w:cs="Times New Roman"/>
          <w:color w:val="000000"/>
          <w:sz w:val="20"/>
          <w:szCs w:val="20"/>
        </w:rPr>
        <w:t>at 4.</w:t>
      </w:r>
      <w:proofErr w:type="gramEnd"/>
    </w:p>
  </w:footnote>
  <w:footnote w:id="323">
    <w:p w14:paraId="20CD3760" w14:textId="49364B57" w:rsidR="00D43BBB" w:rsidRPr="00A04969" w:rsidRDefault="00D43BBB" w:rsidP="002420B7">
      <w:pPr>
        <w:rPr>
          <w:rFonts w:eastAsia="Times New Roman"/>
          <w:color w:val="000000"/>
          <w:sz w:val="20"/>
          <w:szCs w:val="20"/>
          <w:lang w:val="en-US"/>
        </w:rPr>
      </w:pPr>
      <w:r w:rsidRPr="00A04969">
        <w:rPr>
          <w:rStyle w:val="FootnoteReference"/>
          <w:sz w:val="20"/>
          <w:szCs w:val="20"/>
        </w:rPr>
        <w:footnoteRef/>
      </w:r>
      <w:r w:rsidRPr="00A04969">
        <w:rPr>
          <w:sz w:val="20"/>
          <w:szCs w:val="20"/>
        </w:rPr>
        <w:t xml:space="preserve"> Sigman, M., </w:t>
      </w:r>
      <w:r w:rsidRPr="00A04969">
        <w:rPr>
          <w:rFonts w:eastAsia="Times New Roman"/>
          <w:color w:val="000000"/>
          <w:sz w:val="20"/>
          <w:szCs w:val="20"/>
          <w:lang w:val="en-US"/>
        </w:rPr>
        <w:t>Community Based Monitoring of Alaska's Coastal and Ocean Environment: Best Practices for Linking Alaska’s Citizens with Science at 30 (2015).</w:t>
      </w:r>
    </w:p>
  </w:footnote>
  <w:footnote w:id="324">
    <w:p w14:paraId="071D7C6F" w14:textId="79901ED5"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proofErr w:type="gramStart"/>
      <w:r w:rsidRPr="00A04969">
        <w:rPr>
          <w:rFonts w:ascii="Times New Roman" w:hAnsi="Times New Roman" w:cs="Times New Roman"/>
          <w:sz w:val="20"/>
          <w:szCs w:val="20"/>
        </w:rPr>
        <w:t xml:space="preserve">Ottawa Principles, </w:t>
      </w:r>
      <w:r w:rsidRPr="00A04969">
        <w:rPr>
          <w:rFonts w:ascii="Times New Roman" w:hAnsi="Times New Roman" w:cs="Times New Roman"/>
          <w:i/>
          <w:sz w:val="20"/>
          <w:szCs w:val="20"/>
        </w:rPr>
        <w:t>supra</w:t>
      </w:r>
      <w:r w:rsidRPr="00A04969">
        <w:rPr>
          <w:rFonts w:ascii="Times New Roman" w:hAnsi="Times New Roman" w:cs="Times New Roman"/>
          <w:sz w:val="20"/>
          <w:szCs w:val="20"/>
        </w:rPr>
        <w:t xml:space="preserve"> n. </w:t>
      </w:r>
      <w:r w:rsidRPr="00A04969">
        <w:rPr>
          <w:rFonts w:ascii="Times New Roman" w:hAnsi="Times New Roman" w:cs="Times New Roman"/>
          <w:sz w:val="20"/>
          <w:szCs w:val="20"/>
        </w:rPr>
        <w:fldChar w:fldCharType="begin"/>
      </w:r>
      <w:r w:rsidRPr="00A04969">
        <w:rPr>
          <w:rFonts w:ascii="Times New Roman" w:hAnsi="Times New Roman" w:cs="Times New Roman"/>
          <w:sz w:val="20"/>
          <w:szCs w:val="20"/>
        </w:rPr>
        <w:instrText xml:space="preserve"> NOTEREF _Ref334001803 \h </w:instrText>
      </w:r>
      <w:r w:rsidRPr="00A04969">
        <w:rPr>
          <w:rFonts w:ascii="Times New Roman" w:hAnsi="Times New Roman" w:cs="Times New Roman"/>
          <w:sz w:val="20"/>
          <w:szCs w:val="20"/>
        </w:rPr>
      </w:r>
      <w:r w:rsidRPr="00A04969">
        <w:rPr>
          <w:rFonts w:ascii="Times New Roman" w:hAnsi="Times New Roman" w:cs="Times New Roman"/>
          <w:sz w:val="20"/>
          <w:szCs w:val="20"/>
        </w:rPr>
        <w:fldChar w:fldCharType="separate"/>
      </w:r>
      <w:r>
        <w:rPr>
          <w:rFonts w:ascii="Times New Roman" w:hAnsi="Times New Roman" w:cs="Times New Roman"/>
          <w:sz w:val="20"/>
          <w:szCs w:val="20"/>
        </w:rPr>
        <w:t>144</w:t>
      </w:r>
      <w:r w:rsidRPr="00A04969">
        <w:rPr>
          <w:rFonts w:ascii="Times New Roman" w:hAnsi="Times New Roman" w:cs="Times New Roman"/>
          <w:sz w:val="20"/>
          <w:szCs w:val="20"/>
        </w:rPr>
        <w:fldChar w:fldCharType="end"/>
      </w:r>
      <w:r w:rsidRPr="00A04969">
        <w:rPr>
          <w:rFonts w:ascii="Times New Roman" w:hAnsi="Times New Roman" w:cs="Times New Roman"/>
          <w:sz w:val="20"/>
          <w:szCs w:val="20"/>
        </w:rPr>
        <w:t>.</w:t>
      </w:r>
      <w:proofErr w:type="gramEnd"/>
    </w:p>
  </w:footnote>
  <w:footnote w:id="325">
    <w:p w14:paraId="5EA3FE3D" w14:textId="4CA82C97"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proofErr w:type="gramStart"/>
      <w:r w:rsidRPr="00A04969">
        <w:rPr>
          <w:rFonts w:ascii="Times New Roman" w:hAnsi="Times New Roman" w:cs="Times New Roman"/>
          <w:sz w:val="20"/>
          <w:szCs w:val="20"/>
        </w:rPr>
        <w:t xml:space="preserve">IUCN Standard, </w:t>
      </w:r>
      <w:r w:rsidRPr="00A04969">
        <w:rPr>
          <w:rFonts w:ascii="Times New Roman" w:hAnsi="Times New Roman" w:cs="Times New Roman"/>
          <w:i/>
          <w:sz w:val="20"/>
          <w:szCs w:val="20"/>
        </w:rPr>
        <w:t>supra</w:t>
      </w:r>
      <w:r w:rsidRPr="00A04969">
        <w:rPr>
          <w:rFonts w:ascii="Times New Roman" w:hAnsi="Times New Roman" w:cs="Times New Roman"/>
          <w:sz w:val="20"/>
          <w:szCs w:val="20"/>
        </w:rPr>
        <w:t xml:space="preserve"> n. </w:t>
      </w:r>
      <w:r w:rsidRPr="00A04969">
        <w:rPr>
          <w:rFonts w:ascii="Times New Roman" w:hAnsi="Times New Roman" w:cs="Times New Roman"/>
          <w:sz w:val="20"/>
          <w:szCs w:val="20"/>
        </w:rPr>
        <w:fldChar w:fldCharType="begin"/>
      </w:r>
      <w:r w:rsidRPr="00A04969">
        <w:rPr>
          <w:rFonts w:ascii="Times New Roman" w:hAnsi="Times New Roman" w:cs="Times New Roman"/>
          <w:sz w:val="20"/>
          <w:szCs w:val="20"/>
        </w:rPr>
        <w:instrText xml:space="preserve"> NOTEREF _Ref334083973 \h </w:instrText>
      </w:r>
      <w:r w:rsidRPr="00A04969">
        <w:rPr>
          <w:rFonts w:ascii="Times New Roman" w:hAnsi="Times New Roman" w:cs="Times New Roman"/>
          <w:sz w:val="20"/>
          <w:szCs w:val="20"/>
        </w:rPr>
      </w:r>
      <w:r w:rsidRPr="00A04969">
        <w:rPr>
          <w:rFonts w:ascii="Times New Roman" w:hAnsi="Times New Roman" w:cs="Times New Roman"/>
          <w:sz w:val="20"/>
          <w:szCs w:val="20"/>
        </w:rPr>
        <w:fldChar w:fldCharType="separate"/>
      </w:r>
      <w:r>
        <w:rPr>
          <w:rFonts w:ascii="Times New Roman" w:hAnsi="Times New Roman" w:cs="Times New Roman"/>
          <w:sz w:val="20"/>
          <w:szCs w:val="20"/>
        </w:rPr>
        <w:t>59</w:t>
      </w:r>
      <w:r w:rsidRPr="00A04969">
        <w:rPr>
          <w:rFonts w:ascii="Times New Roman" w:hAnsi="Times New Roman" w:cs="Times New Roman"/>
          <w:sz w:val="20"/>
          <w:szCs w:val="20"/>
        </w:rPr>
        <w:fldChar w:fldCharType="end"/>
      </w:r>
      <w:r w:rsidRPr="00A04969">
        <w:rPr>
          <w:rFonts w:ascii="Times New Roman" w:hAnsi="Times New Roman" w:cs="Times New Roman"/>
          <w:sz w:val="20"/>
          <w:szCs w:val="20"/>
        </w:rPr>
        <w:t xml:space="preserve"> at 4.</w:t>
      </w:r>
      <w:proofErr w:type="gramEnd"/>
      <w:r w:rsidRPr="00A04969">
        <w:rPr>
          <w:rFonts w:ascii="Times New Roman" w:hAnsi="Times New Roman" w:cs="Times New Roman"/>
          <w:sz w:val="20"/>
          <w:szCs w:val="20"/>
        </w:rPr>
        <w:t xml:space="preserve"> </w:t>
      </w:r>
    </w:p>
  </w:footnote>
  <w:footnote w:id="326">
    <w:p w14:paraId="749CE3B0" w14:textId="41EDD4E1"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UNDRIP arts. </w:t>
      </w:r>
      <w:proofErr w:type="gramStart"/>
      <w:r w:rsidRPr="00A04969">
        <w:rPr>
          <w:rFonts w:ascii="Times New Roman" w:hAnsi="Times New Roman" w:cs="Times New Roman"/>
          <w:sz w:val="20"/>
          <w:szCs w:val="20"/>
        </w:rPr>
        <w:t>19 and 32(2); ILO No. 169 art.</w:t>
      </w:r>
      <w:proofErr w:type="gramEnd"/>
      <w:r w:rsidRPr="00A04969">
        <w:rPr>
          <w:rFonts w:ascii="Times New Roman" w:hAnsi="Times New Roman" w:cs="Times New Roman"/>
          <w:sz w:val="20"/>
          <w:szCs w:val="20"/>
        </w:rPr>
        <w:t xml:space="preserve"> </w:t>
      </w:r>
      <w:proofErr w:type="gramStart"/>
      <w:r w:rsidRPr="00A04969">
        <w:rPr>
          <w:rFonts w:ascii="Times New Roman" w:hAnsi="Times New Roman" w:cs="Times New Roman"/>
          <w:sz w:val="20"/>
          <w:szCs w:val="20"/>
        </w:rPr>
        <w:t xml:space="preserve">15(2); IUCN Standard, </w:t>
      </w:r>
      <w:r w:rsidRPr="00A04969">
        <w:rPr>
          <w:rFonts w:ascii="Times New Roman" w:hAnsi="Times New Roman" w:cs="Times New Roman"/>
          <w:i/>
          <w:sz w:val="20"/>
          <w:szCs w:val="20"/>
        </w:rPr>
        <w:t>supra</w:t>
      </w:r>
      <w:r w:rsidRPr="00A04969">
        <w:rPr>
          <w:rFonts w:ascii="Times New Roman" w:hAnsi="Times New Roman" w:cs="Times New Roman"/>
          <w:sz w:val="20"/>
          <w:szCs w:val="20"/>
        </w:rPr>
        <w:t xml:space="preserve"> n. </w:t>
      </w:r>
      <w:r w:rsidRPr="00A04969">
        <w:rPr>
          <w:rFonts w:ascii="Times New Roman" w:hAnsi="Times New Roman" w:cs="Times New Roman"/>
          <w:sz w:val="20"/>
          <w:szCs w:val="20"/>
        </w:rPr>
        <w:fldChar w:fldCharType="begin"/>
      </w:r>
      <w:r w:rsidRPr="00A04969">
        <w:rPr>
          <w:rFonts w:ascii="Times New Roman" w:hAnsi="Times New Roman" w:cs="Times New Roman"/>
          <w:sz w:val="20"/>
          <w:szCs w:val="20"/>
        </w:rPr>
        <w:instrText xml:space="preserve"> NOTEREF _Ref334083973 \h </w:instrText>
      </w:r>
      <w:r w:rsidRPr="00A04969">
        <w:rPr>
          <w:rFonts w:ascii="Times New Roman" w:hAnsi="Times New Roman" w:cs="Times New Roman"/>
          <w:sz w:val="20"/>
          <w:szCs w:val="20"/>
        </w:rPr>
      </w:r>
      <w:r w:rsidRPr="00A04969">
        <w:rPr>
          <w:rFonts w:ascii="Times New Roman" w:hAnsi="Times New Roman" w:cs="Times New Roman"/>
          <w:sz w:val="20"/>
          <w:szCs w:val="20"/>
        </w:rPr>
        <w:fldChar w:fldCharType="separate"/>
      </w:r>
      <w:r>
        <w:rPr>
          <w:rFonts w:ascii="Times New Roman" w:hAnsi="Times New Roman" w:cs="Times New Roman"/>
          <w:sz w:val="20"/>
          <w:szCs w:val="20"/>
        </w:rPr>
        <w:t>59</w:t>
      </w:r>
      <w:r w:rsidRPr="00A04969">
        <w:rPr>
          <w:rFonts w:ascii="Times New Roman" w:hAnsi="Times New Roman" w:cs="Times New Roman"/>
          <w:sz w:val="20"/>
          <w:szCs w:val="20"/>
        </w:rPr>
        <w:fldChar w:fldCharType="end"/>
      </w:r>
      <w:r w:rsidRPr="00A04969">
        <w:rPr>
          <w:rFonts w:ascii="Times New Roman" w:hAnsi="Times New Roman" w:cs="Times New Roman"/>
          <w:sz w:val="20"/>
          <w:szCs w:val="20"/>
        </w:rPr>
        <w:t xml:space="preserve"> at 4.</w:t>
      </w:r>
      <w:proofErr w:type="gramEnd"/>
      <w:r w:rsidRPr="00A04969">
        <w:rPr>
          <w:rFonts w:ascii="Times New Roman" w:hAnsi="Times New Roman" w:cs="Times New Roman"/>
          <w:sz w:val="20"/>
          <w:szCs w:val="20"/>
        </w:rPr>
        <w:t xml:space="preserve"> </w:t>
      </w:r>
    </w:p>
  </w:footnote>
  <w:footnote w:id="327">
    <w:p w14:paraId="41D7C8E7" w14:textId="6752CABA"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proofErr w:type="gramStart"/>
      <w:r w:rsidRPr="00A04969">
        <w:rPr>
          <w:rFonts w:ascii="Times New Roman" w:hAnsi="Times New Roman" w:cs="Times New Roman"/>
          <w:sz w:val="20"/>
          <w:szCs w:val="20"/>
        </w:rPr>
        <w:t xml:space="preserve">UNHRC 2009, </w:t>
      </w:r>
      <w:r w:rsidRPr="00A04969">
        <w:rPr>
          <w:rFonts w:ascii="Times New Roman" w:hAnsi="Times New Roman" w:cs="Times New Roman"/>
          <w:i/>
          <w:sz w:val="20"/>
          <w:szCs w:val="20"/>
        </w:rPr>
        <w:t>supra</w:t>
      </w:r>
      <w:r w:rsidRPr="00A04969">
        <w:rPr>
          <w:rFonts w:ascii="Times New Roman" w:hAnsi="Times New Roman" w:cs="Times New Roman"/>
          <w:sz w:val="20"/>
          <w:szCs w:val="20"/>
        </w:rPr>
        <w:t xml:space="preserve"> n. </w:t>
      </w:r>
      <w:r w:rsidRPr="00A04969">
        <w:rPr>
          <w:rFonts w:ascii="Times New Roman" w:hAnsi="Times New Roman" w:cs="Times New Roman"/>
          <w:sz w:val="20"/>
          <w:szCs w:val="20"/>
        </w:rPr>
        <w:fldChar w:fldCharType="begin"/>
      </w:r>
      <w:r w:rsidRPr="00A04969">
        <w:rPr>
          <w:rFonts w:ascii="Times New Roman" w:hAnsi="Times New Roman" w:cs="Times New Roman"/>
          <w:sz w:val="20"/>
          <w:szCs w:val="20"/>
        </w:rPr>
        <w:instrText xml:space="preserve"> NOTEREF _Ref334007277 \h </w:instrText>
      </w:r>
      <w:r w:rsidRPr="00A04969">
        <w:rPr>
          <w:rFonts w:ascii="Times New Roman" w:hAnsi="Times New Roman" w:cs="Times New Roman"/>
          <w:sz w:val="20"/>
          <w:szCs w:val="20"/>
        </w:rPr>
      </w:r>
      <w:r w:rsidRPr="00A04969">
        <w:rPr>
          <w:rFonts w:ascii="Times New Roman" w:hAnsi="Times New Roman" w:cs="Times New Roman"/>
          <w:sz w:val="20"/>
          <w:szCs w:val="20"/>
        </w:rPr>
        <w:fldChar w:fldCharType="separate"/>
      </w:r>
      <w:r>
        <w:rPr>
          <w:rFonts w:ascii="Times New Roman" w:hAnsi="Times New Roman" w:cs="Times New Roman"/>
          <w:sz w:val="20"/>
          <w:szCs w:val="20"/>
        </w:rPr>
        <w:t>180</w:t>
      </w:r>
      <w:r w:rsidRPr="00A04969">
        <w:rPr>
          <w:rFonts w:ascii="Times New Roman" w:hAnsi="Times New Roman" w:cs="Times New Roman"/>
          <w:sz w:val="20"/>
          <w:szCs w:val="20"/>
        </w:rPr>
        <w:fldChar w:fldCharType="end"/>
      </w:r>
      <w:r w:rsidRPr="00A04969">
        <w:rPr>
          <w:rFonts w:ascii="Times New Roman" w:hAnsi="Times New Roman" w:cs="Times New Roman"/>
          <w:sz w:val="20"/>
          <w:szCs w:val="20"/>
        </w:rPr>
        <w:t xml:space="preserve"> ¶ 46; </w:t>
      </w:r>
      <w:r w:rsidRPr="00A04969">
        <w:rPr>
          <w:rFonts w:ascii="Times New Roman" w:hAnsi="Times New Roman" w:cs="Times New Roman"/>
          <w:i/>
          <w:sz w:val="20"/>
          <w:szCs w:val="20"/>
        </w:rPr>
        <w:t>See also</w:t>
      </w:r>
      <w:r w:rsidRPr="00A04969">
        <w:rPr>
          <w:rFonts w:ascii="Times New Roman" w:hAnsi="Times New Roman" w:cs="Times New Roman"/>
          <w:sz w:val="20"/>
          <w:szCs w:val="20"/>
        </w:rPr>
        <w:t xml:space="preserve"> </w:t>
      </w:r>
      <w:r w:rsidRPr="00A04969">
        <w:rPr>
          <w:rFonts w:ascii="Times New Roman" w:hAnsi="Times New Roman" w:cs="Times New Roman"/>
          <w:i/>
          <w:sz w:val="20"/>
          <w:szCs w:val="20"/>
        </w:rPr>
        <w:t>Haida,</w:t>
      </w:r>
      <w:r w:rsidRPr="00A04969">
        <w:rPr>
          <w:rFonts w:ascii="Times New Roman" w:hAnsi="Times New Roman" w:cs="Times New Roman"/>
          <w:sz w:val="20"/>
          <w:szCs w:val="20"/>
        </w:rPr>
        <w:t xml:space="preserve"> ¶ 48.</w:t>
      </w:r>
      <w:proofErr w:type="gramEnd"/>
    </w:p>
  </w:footnote>
  <w:footnote w:id="328">
    <w:p w14:paraId="0E432A66" w14:textId="7C916890"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INAC Guidelines, </w:t>
      </w:r>
      <w:r w:rsidRPr="00A04969">
        <w:rPr>
          <w:rFonts w:ascii="Times New Roman" w:hAnsi="Times New Roman" w:cs="Times New Roman"/>
          <w:i/>
          <w:sz w:val="20"/>
          <w:szCs w:val="20"/>
        </w:rPr>
        <w:t>supra</w:t>
      </w:r>
      <w:r w:rsidRPr="00A04969">
        <w:rPr>
          <w:rFonts w:ascii="Times New Roman" w:hAnsi="Times New Roman" w:cs="Times New Roman"/>
          <w:sz w:val="20"/>
          <w:szCs w:val="20"/>
        </w:rPr>
        <w:t xml:space="preserve"> n. </w:t>
      </w:r>
      <w:r w:rsidRPr="00A04969">
        <w:rPr>
          <w:rFonts w:ascii="Times New Roman" w:hAnsi="Times New Roman" w:cs="Times New Roman"/>
          <w:sz w:val="20"/>
          <w:szCs w:val="20"/>
        </w:rPr>
        <w:fldChar w:fldCharType="begin"/>
      </w:r>
      <w:r w:rsidRPr="00A04969">
        <w:rPr>
          <w:rFonts w:ascii="Times New Roman" w:hAnsi="Times New Roman" w:cs="Times New Roman"/>
          <w:sz w:val="20"/>
          <w:szCs w:val="20"/>
        </w:rPr>
        <w:instrText xml:space="preserve"> NOTEREF _Ref334080771 \h </w:instrText>
      </w:r>
      <w:r w:rsidRPr="00A04969">
        <w:rPr>
          <w:rFonts w:ascii="Times New Roman" w:hAnsi="Times New Roman" w:cs="Times New Roman"/>
          <w:sz w:val="20"/>
          <w:szCs w:val="20"/>
        </w:rPr>
      </w:r>
      <w:r w:rsidRPr="00A04969">
        <w:rPr>
          <w:rFonts w:ascii="Times New Roman" w:hAnsi="Times New Roman" w:cs="Times New Roman"/>
          <w:sz w:val="20"/>
          <w:szCs w:val="20"/>
        </w:rPr>
        <w:fldChar w:fldCharType="separate"/>
      </w:r>
      <w:r>
        <w:rPr>
          <w:rFonts w:ascii="Times New Roman" w:hAnsi="Times New Roman" w:cs="Times New Roman"/>
          <w:sz w:val="20"/>
          <w:szCs w:val="20"/>
        </w:rPr>
        <w:t>26</w:t>
      </w:r>
      <w:r w:rsidRPr="00A04969">
        <w:rPr>
          <w:rFonts w:ascii="Times New Roman" w:hAnsi="Times New Roman" w:cs="Times New Roman"/>
          <w:sz w:val="20"/>
          <w:szCs w:val="20"/>
        </w:rPr>
        <w:fldChar w:fldCharType="end"/>
      </w:r>
      <w:r w:rsidRPr="00A04969">
        <w:rPr>
          <w:rFonts w:ascii="Times New Roman" w:hAnsi="Times New Roman" w:cs="Times New Roman"/>
          <w:sz w:val="20"/>
          <w:szCs w:val="20"/>
        </w:rPr>
        <w:t xml:space="preserve"> at 102 (noting that that consultation may not always lead to accommodation or that there may not always be agreement on what accommodation measures may be appropriate).</w:t>
      </w:r>
    </w:p>
  </w:footnote>
  <w:footnote w:id="329">
    <w:p w14:paraId="41BE54C9" w14:textId="1C02CA75" w:rsidR="00D43BBB" w:rsidRPr="00A04969" w:rsidRDefault="00D43BBB" w:rsidP="002420B7">
      <w:pPr>
        <w:widowControl w:val="0"/>
        <w:autoSpaceDE w:val="0"/>
        <w:autoSpaceDN w:val="0"/>
        <w:adjustRightInd w:val="0"/>
        <w:rPr>
          <w:sz w:val="20"/>
          <w:szCs w:val="20"/>
        </w:rPr>
      </w:pPr>
      <w:r w:rsidRPr="00A04969">
        <w:rPr>
          <w:rStyle w:val="FootnoteReference"/>
          <w:sz w:val="20"/>
          <w:szCs w:val="20"/>
        </w:rPr>
        <w:footnoteRef/>
      </w:r>
      <w:r w:rsidRPr="00A04969">
        <w:rPr>
          <w:sz w:val="20"/>
          <w:szCs w:val="20"/>
        </w:rPr>
        <w:t xml:space="preserve"> </w:t>
      </w:r>
      <w:r w:rsidRPr="00A04969">
        <w:rPr>
          <w:color w:val="1A1A1A"/>
          <w:sz w:val="20"/>
          <w:szCs w:val="20"/>
        </w:rPr>
        <w:t xml:space="preserve">Akwé Kon: Voluntary Guidelines, </w:t>
      </w:r>
      <w:r w:rsidRPr="00A04969">
        <w:rPr>
          <w:i/>
          <w:color w:val="1A1A1A"/>
          <w:sz w:val="20"/>
          <w:szCs w:val="20"/>
        </w:rPr>
        <w:t>supra</w:t>
      </w:r>
      <w:r w:rsidRPr="00A04969">
        <w:rPr>
          <w:color w:val="1A1A1A"/>
          <w:sz w:val="20"/>
          <w:szCs w:val="20"/>
        </w:rPr>
        <w:t xml:space="preserve"> n. </w:t>
      </w:r>
      <w:r w:rsidRPr="00A04969">
        <w:rPr>
          <w:color w:val="1A1A1A"/>
          <w:sz w:val="20"/>
          <w:szCs w:val="20"/>
        </w:rPr>
        <w:fldChar w:fldCharType="begin"/>
      </w:r>
      <w:r w:rsidRPr="00A04969">
        <w:rPr>
          <w:color w:val="1A1A1A"/>
          <w:sz w:val="20"/>
          <w:szCs w:val="20"/>
        </w:rPr>
        <w:instrText xml:space="preserve"> NOTEREF _Ref333348796 \h </w:instrText>
      </w:r>
      <w:r w:rsidRPr="00A04969">
        <w:rPr>
          <w:color w:val="1A1A1A"/>
          <w:sz w:val="20"/>
          <w:szCs w:val="20"/>
        </w:rPr>
      </w:r>
      <w:r w:rsidRPr="00A04969">
        <w:rPr>
          <w:color w:val="1A1A1A"/>
          <w:sz w:val="20"/>
          <w:szCs w:val="20"/>
        </w:rPr>
        <w:fldChar w:fldCharType="separate"/>
      </w:r>
      <w:r>
        <w:rPr>
          <w:color w:val="1A1A1A"/>
          <w:sz w:val="20"/>
          <w:szCs w:val="20"/>
        </w:rPr>
        <w:t>13</w:t>
      </w:r>
      <w:r w:rsidRPr="00A04969">
        <w:rPr>
          <w:color w:val="1A1A1A"/>
          <w:sz w:val="20"/>
          <w:szCs w:val="20"/>
        </w:rPr>
        <w:fldChar w:fldCharType="end"/>
      </w:r>
      <w:r w:rsidRPr="00A04969">
        <w:rPr>
          <w:sz w:val="20"/>
          <w:szCs w:val="20"/>
        </w:rPr>
        <w:t xml:space="preserve"> at 9 (advising that a process whereby indigenous communities may have the option to accept or oppose a proposed development that may impact on their community).</w:t>
      </w:r>
    </w:p>
  </w:footnote>
  <w:footnote w:id="330">
    <w:p w14:paraId="0B0020CA" w14:textId="7049E17A" w:rsidR="00D43BBB" w:rsidRPr="00A04969" w:rsidRDefault="00D43BBB" w:rsidP="002420B7">
      <w:pPr>
        <w:widowControl w:val="0"/>
        <w:autoSpaceDE w:val="0"/>
        <w:autoSpaceDN w:val="0"/>
        <w:adjustRightInd w:val="0"/>
        <w:rPr>
          <w:sz w:val="20"/>
          <w:szCs w:val="20"/>
        </w:rPr>
      </w:pPr>
      <w:r w:rsidRPr="00A04969">
        <w:rPr>
          <w:rStyle w:val="FootnoteReference"/>
          <w:sz w:val="20"/>
          <w:szCs w:val="20"/>
        </w:rPr>
        <w:footnoteRef/>
      </w:r>
      <w:r w:rsidRPr="00A04969">
        <w:rPr>
          <w:sz w:val="20"/>
          <w:szCs w:val="20"/>
        </w:rPr>
        <w:t xml:space="preserve"> </w:t>
      </w:r>
      <w:r w:rsidRPr="00A04969">
        <w:rPr>
          <w:sz w:val="20"/>
          <w:szCs w:val="20"/>
          <w:lang w:val="en-US"/>
        </w:rPr>
        <w:t xml:space="preserve">International Finance Corporation, IFC Updates Environmental and Social Standards, Strengthening Commitment to Sustainability and Transparency (May 2011); </w:t>
      </w:r>
      <w:r w:rsidRPr="00A04969">
        <w:rPr>
          <w:sz w:val="20"/>
          <w:szCs w:val="20"/>
        </w:rPr>
        <w:t>IFC Performance Standards, Performance Standard 7: Indigenous Peoples (2012).</w:t>
      </w:r>
    </w:p>
  </w:footnote>
  <w:footnote w:id="331">
    <w:p w14:paraId="1AE13E51" w14:textId="39257BB8" w:rsidR="00D43BBB" w:rsidRPr="00A04969" w:rsidRDefault="00D43BBB" w:rsidP="002420B7">
      <w:pPr>
        <w:widowControl w:val="0"/>
        <w:autoSpaceDE w:val="0"/>
        <w:autoSpaceDN w:val="0"/>
        <w:adjustRightInd w:val="0"/>
        <w:rPr>
          <w:sz w:val="20"/>
          <w:szCs w:val="20"/>
        </w:rPr>
      </w:pPr>
      <w:r w:rsidRPr="00A04969">
        <w:rPr>
          <w:rStyle w:val="FootnoteReference"/>
          <w:sz w:val="20"/>
          <w:szCs w:val="20"/>
        </w:rPr>
        <w:footnoteRef/>
      </w:r>
      <w:r w:rsidRPr="00A04969">
        <w:rPr>
          <w:sz w:val="20"/>
          <w:szCs w:val="20"/>
        </w:rPr>
        <w:t xml:space="preserve"> </w:t>
      </w:r>
      <w:proofErr w:type="gramStart"/>
      <w:r w:rsidRPr="00A04969">
        <w:rPr>
          <w:sz w:val="20"/>
          <w:szCs w:val="20"/>
          <w:lang w:val="en-US"/>
        </w:rPr>
        <w:t xml:space="preserve">United Nations Development </w:t>
      </w:r>
      <w:proofErr w:type="spellStart"/>
      <w:r w:rsidRPr="00A04969">
        <w:rPr>
          <w:sz w:val="20"/>
          <w:szCs w:val="20"/>
          <w:lang w:val="en-US"/>
        </w:rPr>
        <w:t>Programme</w:t>
      </w:r>
      <w:proofErr w:type="spellEnd"/>
      <w:r w:rsidRPr="00A04969">
        <w:rPr>
          <w:sz w:val="20"/>
          <w:szCs w:val="20"/>
          <w:lang w:val="en-US"/>
        </w:rPr>
        <w:t>, UNDP Social and Environmental Standards at 34, para.</w:t>
      </w:r>
      <w:proofErr w:type="gramEnd"/>
      <w:r w:rsidRPr="00A04969">
        <w:rPr>
          <w:sz w:val="20"/>
          <w:szCs w:val="20"/>
          <w:lang w:val="en-US"/>
        </w:rPr>
        <w:t xml:space="preserve"> 9 (July 2014).</w:t>
      </w:r>
    </w:p>
  </w:footnote>
  <w:footnote w:id="332">
    <w:p w14:paraId="12DF48EC" w14:textId="0575E0A7" w:rsidR="00D43BBB" w:rsidRPr="00A04969" w:rsidRDefault="00D43BBB" w:rsidP="002420B7">
      <w:pPr>
        <w:widowControl w:val="0"/>
        <w:autoSpaceDE w:val="0"/>
        <w:autoSpaceDN w:val="0"/>
        <w:adjustRightInd w:val="0"/>
        <w:rPr>
          <w:sz w:val="20"/>
          <w:szCs w:val="20"/>
        </w:rPr>
      </w:pPr>
      <w:r w:rsidRPr="00A04969">
        <w:rPr>
          <w:rStyle w:val="FootnoteReference"/>
          <w:sz w:val="20"/>
          <w:szCs w:val="20"/>
        </w:rPr>
        <w:footnoteRef/>
      </w:r>
      <w:r w:rsidRPr="00A04969">
        <w:rPr>
          <w:sz w:val="20"/>
          <w:szCs w:val="20"/>
        </w:rPr>
        <w:t xml:space="preserve"> </w:t>
      </w:r>
      <w:r w:rsidRPr="00A04969">
        <w:rPr>
          <w:sz w:val="20"/>
          <w:szCs w:val="20"/>
          <w:lang w:val="en-US"/>
        </w:rPr>
        <w:t>International Council on Mining and Metals, “Indigenous Peoples and Mining”, Position Statement at 3 (May 2013).</w:t>
      </w:r>
    </w:p>
  </w:footnote>
  <w:footnote w:id="333">
    <w:p w14:paraId="1234BBE5" w14:textId="67CEB125" w:rsidR="00D43BBB" w:rsidRPr="00A04969" w:rsidRDefault="00D43BBB" w:rsidP="002420B7">
      <w:pPr>
        <w:widowControl w:val="0"/>
        <w:autoSpaceDE w:val="0"/>
        <w:autoSpaceDN w:val="0"/>
        <w:adjustRightInd w:val="0"/>
        <w:rPr>
          <w:sz w:val="20"/>
          <w:szCs w:val="20"/>
        </w:rPr>
      </w:pPr>
      <w:r w:rsidRPr="00A04969">
        <w:rPr>
          <w:rStyle w:val="FootnoteReference"/>
          <w:sz w:val="20"/>
          <w:szCs w:val="20"/>
        </w:rPr>
        <w:footnoteRef/>
      </w:r>
      <w:r w:rsidRPr="00A04969">
        <w:rPr>
          <w:sz w:val="20"/>
          <w:szCs w:val="20"/>
        </w:rPr>
        <w:t xml:space="preserve"> </w:t>
      </w:r>
      <w:proofErr w:type="spellStart"/>
      <w:proofErr w:type="gramStart"/>
      <w:r w:rsidRPr="00A04969">
        <w:rPr>
          <w:i/>
          <w:sz w:val="20"/>
          <w:szCs w:val="20"/>
          <w:lang w:val="en-US"/>
        </w:rPr>
        <w:t>Tsilhqot'in</w:t>
      </w:r>
      <w:proofErr w:type="spellEnd"/>
      <w:r w:rsidRPr="00A04969">
        <w:rPr>
          <w:i/>
          <w:sz w:val="20"/>
          <w:szCs w:val="20"/>
          <w:lang w:val="en-US"/>
        </w:rPr>
        <w:t xml:space="preserve"> Nation v. British Columbia</w:t>
      </w:r>
      <w:r w:rsidRPr="00A04969">
        <w:rPr>
          <w:sz w:val="20"/>
          <w:szCs w:val="20"/>
          <w:lang w:val="en-US"/>
        </w:rPr>
        <w:t xml:space="preserve">, 2014 SCC 44; </w:t>
      </w:r>
      <w:proofErr w:type="spellStart"/>
      <w:r w:rsidRPr="00A04969">
        <w:rPr>
          <w:sz w:val="20"/>
          <w:szCs w:val="20"/>
          <w:lang w:val="en-US"/>
        </w:rPr>
        <w:t>Haida</w:t>
      </w:r>
      <w:proofErr w:type="spellEnd"/>
      <w:r w:rsidRPr="00A04969">
        <w:rPr>
          <w:sz w:val="20"/>
          <w:szCs w:val="20"/>
          <w:lang w:val="en-US"/>
        </w:rPr>
        <w:t xml:space="preserve"> Nation, supra.</w:t>
      </w:r>
      <w:proofErr w:type="gramEnd"/>
      <w:r w:rsidRPr="00A04969">
        <w:rPr>
          <w:sz w:val="20"/>
          <w:szCs w:val="20"/>
          <w:lang w:val="en-US"/>
        </w:rPr>
        <w:t xml:space="preserve"> n. X para. </w:t>
      </w:r>
      <w:proofErr w:type="gramStart"/>
      <w:r w:rsidRPr="00A04969">
        <w:rPr>
          <w:sz w:val="20"/>
          <w:szCs w:val="20"/>
          <w:lang w:val="en-US"/>
        </w:rPr>
        <w:t xml:space="preserve">24; </w:t>
      </w:r>
      <w:proofErr w:type="spellStart"/>
      <w:r w:rsidRPr="00A04969">
        <w:rPr>
          <w:sz w:val="20"/>
          <w:szCs w:val="20"/>
          <w:lang w:val="en-US"/>
        </w:rPr>
        <w:t>Delgamuukw</w:t>
      </w:r>
      <w:proofErr w:type="spellEnd"/>
      <w:r w:rsidRPr="00A04969">
        <w:rPr>
          <w:sz w:val="20"/>
          <w:szCs w:val="20"/>
          <w:lang w:val="en-US"/>
        </w:rPr>
        <w:t xml:space="preserve"> v. British Columbia, [1997] 3 S.C.R. 1010, para.</w:t>
      </w:r>
      <w:proofErr w:type="gramEnd"/>
      <w:r w:rsidRPr="00A04969">
        <w:rPr>
          <w:sz w:val="20"/>
          <w:szCs w:val="20"/>
          <w:lang w:val="en-US"/>
        </w:rPr>
        <w:t xml:space="preserve"> 168). </w:t>
      </w:r>
    </w:p>
  </w:footnote>
  <w:footnote w:id="334">
    <w:p w14:paraId="3DC772AB" w14:textId="36C95A76" w:rsidR="00D43BBB" w:rsidRPr="00A04969" w:rsidRDefault="00D43BBB" w:rsidP="002420B7">
      <w:pPr>
        <w:widowControl w:val="0"/>
        <w:autoSpaceDE w:val="0"/>
        <w:autoSpaceDN w:val="0"/>
        <w:adjustRightInd w:val="0"/>
        <w:rPr>
          <w:sz w:val="20"/>
          <w:szCs w:val="20"/>
        </w:rPr>
      </w:pPr>
      <w:r w:rsidRPr="00A04969">
        <w:rPr>
          <w:rStyle w:val="FootnoteReference"/>
          <w:sz w:val="20"/>
          <w:szCs w:val="20"/>
        </w:rPr>
        <w:footnoteRef/>
      </w:r>
      <w:r w:rsidRPr="00A04969">
        <w:rPr>
          <w:sz w:val="20"/>
          <w:szCs w:val="20"/>
        </w:rPr>
        <w:t xml:space="preserve"> </w:t>
      </w:r>
      <w:r w:rsidRPr="00A04969">
        <w:rPr>
          <w:bCs/>
          <w:sz w:val="20"/>
          <w:szCs w:val="20"/>
        </w:rPr>
        <w:t xml:space="preserve">Exec. Order No. </w:t>
      </w:r>
      <w:r w:rsidRPr="00A04969">
        <w:rPr>
          <w:sz w:val="20"/>
          <w:szCs w:val="20"/>
        </w:rPr>
        <w:t xml:space="preserve">13175, </w:t>
      </w:r>
      <w:r w:rsidRPr="00A04969">
        <w:rPr>
          <w:bCs/>
          <w:i/>
          <w:sz w:val="20"/>
          <w:szCs w:val="20"/>
        </w:rPr>
        <w:t>supra</w:t>
      </w:r>
      <w:r w:rsidRPr="00A04969">
        <w:rPr>
          <w:bCs/>
          <w:sz w:val="20"/>
          <w:szCs w:val="20"/>
        </w:rPr>
        <w:t xml:space="preserve"> n. </w:t>
      </w:r>
      <w:r w:rsidRPr="00A04969">
        <w:rPr>
          <w:bCs/>
          <w:sz w:val="20"/>
          <w:szCs w:val="20"/>
        </w:rPr>
        <w:fldChar w:fldCharType="begin"/>
      </w:r>
      <w:r w:rsidRPr="00A04969">
        <w:rPr>
          <w:bCs/>
          <w:sz w:val="20"/>
          <w:szCs w:val="20"/>
        </w:rPr>
        <w:instrText xml:space="preserve"> NOTEREF _Ref333993101 \h </w:instrText>
      </w:r>
      <w:r w:rsidRPr="00A04969">
        <w:rPr>
          <w:bCs/>
          <w:sz w:val="20"/>
          <w:szCs w:val="20"/>
        </w:rPr>
      </w:r>
      <w:r w:rsidRPr="00A04969">
        <w:rPr>
          <w:bCs/>
          <w:sz w:val="20"/>
          <w:szCs w:val="20"/>
        </w:rPr>
        <w:fldChar w:fldCharType="separate"/>
      </w:r>
      <w:r>
        <w:rPr>
          <w:bCs/>
          <w:sz w:val="20"/>
          <w:szCs w:val="20"/>
        </w:rPr>
        <w:t>7</w:t>
      </w:r>
      <w:r w:rsidRPr="00A04969">
        <w:rPr>
          <w:bCs/>
          <w:sz w:val="20"/>
          <w:szCs w:val="20"/>
        </w:rPr>
        <w:fldChar w:fldCharType="end"/>
      </w:r>
      <w:r w:rsidRPr="00A04969">
        <w:rPr>
          <w:bCs/>
          <w:sz w:val="20"/>
          <w:szCs w:val="20"/>
        </w:rPr>
        <w:t xml:space="preserve"> </w:t>
      </w:r>
      <w:r w:rsidRPr="00A04969">
        <w:rPr>
          <w:sz w:val="20"/>
          <w:szCs w:val="20"/>
        </w:rPr>
        <w:t>§ 5(d).</w:t>
      </w:r>
    </w:p>
  </w:footnote>
  <w:footnote w:id="335">
    <w:p w14:paraId="3A0439B4" w14:textId="5CF70777"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proofErr w:type="gramStart"/>
      <w:r w:rsidRPr="00A04969">
        <w:rPr>
          <w:rFonts w:ascii="Times New Roman" w:hAnsi="Times New Roman" w:cs="Times New Roman"/>
          <w:sz w:val="20"/>
          <w:szCs w:val="20"/>
          <w:lang w:val="en-CA"/>
        </w:rPr>
        <w:t xml:space="preserve">PAME Arctic Offshore Oil and Gas, </w:t>
      </w:r>
      <w:r w:rsidRPr="00A04969">
        <w:rPr>
          <w:rFonts w:ascii="Times New Roman" w:hAnsi="Times New Roman" w:cs="Times New Roman"/>
          <w:i/>
          <w:sz w:val="20"/>
          <w:szCs w:val="20"/>
        </w:rPr>
        <w:t>supra</w:t>
      </w:r>
      <w:r w:rsidRPr="00A04969">
        <w:rPr>
          <w:rFonts w:ascii="Times New Roman" w:hAnsi="Times New Roman" w:cs="Times New Roman"/>
          <w:sz w:val="20"/>
          <w:szCs w:val="20"/>
        </w:rPr>
        <w:t xml:space="preserve"> n. </w:t>
      </w:r>
      <w:r w:rsidRPr="00A04969">
        <w:rPr>
          <w:rFonts w:ascii="Times New Roman" w:hAnsi="Times New Roman" w:cs="Times New Roman"/>
          <w:sz w:val="20"/>
          <w:szCs w:val="20"/>
        </w:rPr>
        <w:fldChar w:fldCharType="begin"/>
      </w:r>
      <w:r w:rsidRPr="00A04969">
        <w:rPr>
          <w:rFonts w:ascii="Times New Roman" w:hAnsi="Times New Roman" w:cs="Times New Roman"/>
          <w:sz w:val="20"/>
          <w:szCs w:val="20"/>
        </w:rPr>
        <w:instrText xml:space="preserve"> NOTEREF _Ref333994849 \h </w:instrText>
      </w:r>
      <w:r w:rsidRPr="00A04969">
        <w:rPr>
          <w:rFonts w:ascii="Times New Roman" w:hAnsi="Times New Roman" w:cs="Times New Roman"/>
          <w:sz w:val="20"/>
          <w:szCs w:val="20"/>
        </w:rPr>
      </w:r>
      <w:r w:rsidRPr="00A04969">
        <w:rPr>
          <w:rFonts w:ascii="Times New Roman" w:hAnsi="Times New Roman" w:cs="Times New Roman"/>
          <w:sz w:val="20"/>
          <w:szCs w:val="20"/>
        </w:rPr>
        <w:fldChar w:fldCharType="separate"/>
      </w:r>
      <w:r>
        <w:rPr>
          <w:rFonts w:ascii="Times New Roman" w:hAnsi="Times New Roman" w:cs="Times New Roman"/>
          <w:sz w:val="20"/>
          <w:szCs w:val="20"/>
        </w:rPr>
        <w:t>78</w:t>
      </w:r>
      <w:r w:rsidRPr="00A04969">
        <w:rPr>
          <w:rFonts w:ascii="Times New Roman" w:hAnsi="Times New Roman" w:cs="Times New Roman"/>
          <w:sz w:val="20"/>
          <w:szCs w:val="20"/>
        </w:rPr>
        <w:fldChar w:fldCharType="end"/>
      </w:r>
      <w:r w:rsidRPr="00A04969">
        <w:rPr>
          <w:rFonts w:ascii="Times New Roman" w:hAnsi="Times New Roman" w:cs="Times New Roman"/>
          <w:sz w:val="20"/>
          <w:szCs w:val="20"/>
        </w:rPr>
        <w:t xml:space="preserve"> </w:t>
      </w:r>
      <w:r w:rsidRPr="00A04969">
        <w:rPr>
          <w:rFonts w:ascii="Times New Roman" w:hAnsi="Times New Roman" w:cs="Times New Roman"/>
          <w:sz w:val="20"/>
          <w:szCs w:val="20"/>
          <w:lang w:val="en-CA"/>
        </w:rPr>
        <w:t>at 19.</w:t>
      </w:r>
      <w:proofErr w:type="gramEnd"/>
    </w:p>
  </w:footnote>
  <w:footnote w:id="336">
    <w:p w14:paraId="29EE7CCD" w14:textId="71BA4A45"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proofErr w:type="gramStart"/>
      <w:r w:rsidRPr="00A04969">
        <w:rPr>
          <w:rFonts w:ascii="Times New Roman" w:hAnsi="Times New Roman" w:cs="Times New Roman"/>
          <w:sz w:val="20"/>
          <w:szCs w:val="20"/>
        </w:rPr>
        <w:t xml:space="preserve">IUCN Standard, </w:t>
      </w:r>
      <w:r w:rsidRPr="00A04969">
        <w:rPr>
          <w:rFonts w:ascii="Times New Roman" w:hAnsi="Times New Roman" w:cs="Times New Roman"/>
          <w:i/>
          <w:sz w:val="20"/>
          <w:szCs w:val="20"/>
        </w:rPr>
        <w:t>supra</w:t>
      </w:r>
      <w:r w:rsidRPr="00A04969">
        <w:rPr>
          <w:rFonts w:ascii="Times New Roman" w:hAnsi="Times New Roman" w:cs="Times New Roman"/>
          <w:sz w:val="20"/>
          <w:szCs w:val="20"/>
        </w:rPr>
        <w:t xml:space="preserve"> n. </w:t>
      </w:r>
      <w:r w:rsidRPr="00A04969">
        <w:rPr>
          <w:rFonts w:ascii="Times New Roman" w:hAnsi="Times New Roman" w:cs="Times New Roman"/>
          <w:sz w:val="20"/>
          <w:szCs w:val="20"/>
        </w:rPr>
        <w:fldChar w:fldCharType="begin"/>
      </w:r>
      <w:r w:rsidRPr="00A04969">
        <w:rPr>
          <w:rFonts w:ascii="Times New Roman" w:hAnsi="Times New Roman" w:cs="Times New Roman"/>
          <w:sz w:val="20"/>
          <w:szCs w:val="20"/>
        </w:rPr>
        <w:instrText xml:space="preserve"> NOTEREF _Ref334083973 \h </w:instrText>
      </w:r>
      <w:r w:rsidRPr="00A04969">
        <w:rPr>
          <w:rFonts w:ascii="Times New Roman" w:hAnsi="Times New Roman" w:cs="Times New Roman"/>
          <w:sz w:val="20"/>
          <w:szCs w:val="20"/>
        </w:rPr>
      </w:r>
      <w:r w:rsidRPr="00A04969">
        <w:rPr>
          <w:rFonts w:ascii="Times New Roman" w:hAnsi="Times New Roman" w:cs="Times New Roman"/>
          <w:sz w:val="20"/>
          <w:szCs w:val="20"/>
        </w:rPr>
        <w:fldChar w:fldCharType="separate"/>
      </w:r>
      <w:r>
        <w:rPr>
          <w:rFonts w:ascii="Times New Roman" w:hAnsi="Times New Roman" w:cs="Times New Roman"/>
          <w:sz w:val="20"/>
          <w:szCs w:val="20"/>
        </w:rPr>
        <w:t>59</w:t>
      </w:r>
      <w:r w:rsidRPr="00A04969">
        <w:rPr>
          <w:rFonts w:ascii="Times New Roman" w:hAnsi="Times New Roman" w:cs="Times New Roman"/>
          <w:sz w:val="20"/>
          <w:szCs w:val="20"/>
        </w:rPr>
        <w:fldChar w:fldCharType="end"/>
      </w:r>
      <w:r w:rsidRPr="00A04969">
        <w:rPr>
          <w:rFonts w:ascii="Times New Roman" w:hAnsi="Times New Roman" w:cs="Times New Roman"/>
          <w:sz w:val="20"/>
          <w:szCs w:val="20"/>
        </w:rPr>
        <w:t xml:space="preserve"> at 4.</w:t>
      </w:r>
      <w:proofErr w:type="gramEnd"/>
      <w:r w:rsidRPr="00A04969">
        <w:rPr>
          <w:rFonts w:ascii="Times New Roman" w:hAnsi="Times New Roman" w:cs="Times New Roman"/>
          <w:sz w:val="20"/>
          <w:szCs w:val="20"/>
        </w:rPr>
        <w:t xml:space="preserve"> </w:t>
      </w:r>
    </w:p>
  </w:footnote>
  <w:footnote w:id="337">
    <w:p w14:paraId="0C0CDE6A" w14:textId="47D0B0F9" w:rsidR="00D43BBB" w:rsidRPr="00A04969" w:rsidRDefault="00D43BBB" w:rsidP="002420B7">
      <w:pPr>
        <w:rPr>
          <w:rFonts w:eastAsia="Times New Roman"/>
          <w:color w:val="000000"/>
          <w:sz w:val="20"/>
          <w:szCs w:val="20"/>
          <w:lang w:val="en-US"/>
        </w:rPr>
      </w:pPr>
      <w:r w:rsidRPr="00A04969">
        <w:rPr>
          <w:rStyle w:val="FootnoteReference"/>
          <w:sz w:val="20"/>
          <w:szCs w:val="20"/>
        </w:rPr>
        <w:footnoteRef/>
      </w:r>
      <w:r w:rsidRPr="00A04969">
        <w:rPr>
          <w:sz w:val="20"/>
          <w:szCs w:val="20"/>
        </w:rPr>
        <w:t xml:space="preserve"> </w:t>
      </w:r>
      <w:r w:rsidRPr="00A04969">
        <w:rPr>
          <w:rFonts w:eastAsia="Times New Roman"/>
          <w:color w:val="000000"/>
          <w:sz w:val="20"/>
          <w:szCs w:val="20"/>
          <w:lang w:val="en-US"/>
        </w:rPr>
        <w:t xml:space="preserve">ICC Declaration on Resource Development, </w:t>
      </w:r>
      <w:r w:rsidRPr="00A04969">
        <w:rPr>
          <w:rFonts w:eastAsia="Times New Roman"/>
          <w:i/>
          <w:color w:val="000000"/>
          <w:sz w:val="20"/>
          <w:szCs w:val="20"/>
          <w:lang w:val="en-US"/>
        </w:rPr>
        <w:t>supra</w:t>
      </w:r>
      <w:r w:rsidRPr="00A04969">
        <w:rPr>
          <w:rFonts w:eastAsia="Times New Roman"/>
          <w:color w:val="000000"/>
          <w:sz w:val="20"/>
          <w:szCs w:val="20"/>
          <w:lang w:val="en-US"/>
        </w:rPr>
        <w:t xml:space="preserve"> n. </w:t>
      </w:r>
      <w:r w:rsidRPr="00A04969">
        <w:rPr>
          <w:rFonts w:eastAsia="Times New Roman"/>
          <w:color w:val="000000"/>
          <w:sz w:val="20"/>
          <w:szCs w:val="20"/>
          <w:lang w:val="en-US"/>
        </w:rPr>
        <w:fldChar w:fldCharType="begin"/>
      </w:r>
      <w:r w:rsidRPr="00A04969">
        <w:rPr>
          <w:rFonts w:eastAsia="Times New Roman"/>
          <w:color w:val="000000"/>
          <w:sz w:val="20"/>
          <w:szCs w:val="20"/>
          <w:lang w:val="en-US"/>
        </w:rPr>
        <w:instrText xml:space="preserve"> NOTEREF _Ref333325072 </w:instrText>
      </w:r>
      <w:r w:rsidRPr="00A04969">
        <w:rPr>
          <w:color w:val="000000"/>
          <w:sz w:val="20"/>
          <w:szCs w:val="20"/>
          <w:lang w:val="en-US"/>
        </w:rPr>
        <w:fldChar w:fldCharType="separate"/>
      </w:r>
      <w:r>
        <w:rPr>
          <w:rFonts w:eastAsia="Times New Roman"/>
          <w:color w:val="000000"/>
          <w:sz w:val="20"/>
          <w:szCs w:val="20"/>
          <w:lang w:val="en-US"/>
        </w:rPr>
        <w:t>62</w:t>
      </w:r>
      <w:r w:rsidRPr="00A04969">
        <w:rPr>
          <w:rFonts w:eastAsia="Times New Roman"/>
          <w:color w:val="000000"/>
          <w:sz w:val="20"/>
          <w:szCs w:val="20"/>
          <w:lang w:val="en-US"/>
        </w:rPr>
        <w:fldChar w:fldCharType="end"/>
      </w:r>
      <w:r w:rsidRPr="00A04969">
        <w:rPr>
          <w:rFonts w:eastAsia="Times New Roman"/>
          <w:color w:val="000000"/>
          <w:sz w:val="20"/>
          <w:szCs w:val="20"/>
          <w:lang w:val="en-US"/>
        </w:rPr>
        <w:t xml:space="preserve">; </w:t>
      </w:r>
      <w:r w:rsidRPr="00A04969">
        <w:rPr>
          <w:rFonts w:eastAsia="Times New Roman"/>
          <w:i/>
          <w:color w:val="000000"/>
          <w:sz w:val="20"/>
          <w:szCs w:val="20"/>
          <w:lang w:val="en-US"/>
        </w:rPr>
        <w:t>see also</w:t>
      </w:r>
      <w:r w:rsidRPr="00A04969">
        <w:rPr>
          <w:rFonts w:eastAsia="Times New Roman"/>
          <w:color w:val="000000"/>
          <w:sz w:val="20"/>
          <w:szCs w:val="20"/>
          <w:lang w:val="en-US"/>
        </w:rPr>
        <w:t xml:space="preserve"> </w:t>
      </w:r>
      <w:r w:rsidRPr="00A04969">
        <w:rPr>
          <w:sz w:val="20"/>
          <w:szCs w:val="20"/>
        </w:rPr>
        <w:t xml:space="preserve">ICC Arctic Policy, </w:t>
      </w:r>
      <w:r w:rsidRPr="00A04969">
        <w:rPr>
          <w:i/>
          <w:sz w:val="20"/>
          <w:szCs w:val="20"/>
        </w:rPr>
        <w:t>supra</w:t>
      </w:r>
      <w:r w:rsidRPr="00A04969">
        <w:rPr>
          <w:sz w:val="20"/>
          <w:szCs w:val="20"/>
        </w:rPr>
        <w:t xml:space="preserve"> n. </w:t>
      </w:r>
      <w:r w:rsidRPr="00A04969">
        <w:rPr>
          <w:sz w:val="20"/>
          <w:szCs w:val="20"/>
        </w:rPr>
        <w:fldChar w:fldCharType="begin"/>
      </w:r>
      <w:r w:rsidRPr="00A04969">
        <w:rPr>
          <w:sz w:val="20"/>
          <w:szCs w:val="20"/>
        </w:rPr>
        <w:instrText xml:space="preserve"> NOTEREF _Ref333385533 </w:instrText>
      </w:r>
      <w:r w:rsidRPr="00A04969">
        <w:rPr>
          <w:sz w:val="20"/>
          <w:szCs w:val="20"/>
        </w:rPr>
        <w:fldChar w:fldCharType="separate"/>
      </w:r>
      <w:r>
        <w:rPr>
          <w:sz w:val="20"/>
          <w:szCs w:val="20"/>
        </w:rPr>
        <w:t>92</w:t>
      </w:r>
      <w:r w:rsidRPr="00A04969">
        <w:rPr>
          <w:sz w:val="20"/>
          <w:szCs w:val="20"/>
        </w:rPr>
        <w:fldChar w:fldCharType="end"/>
      </w:r>
      <w:r w:rsidRPr="00A04969">
        <w:rPr>
          <w:sz w:val="20"/>
          <w:szCs w:val="20"/>
        </w:rPr>
        <w:t xml:space="preserve"> (requiring FPIC for offshore drilling).</w:t>
      </w:r>
    </w:p>
  </w:footnote>
  <w:footnote w:id="338">
    <w:p w14:paraId="2786E72F" w14:textId="78201EB9" w:rsidR="00D43BBB" w:rsidRPr="00A04969" w:rsidRDefault="00D43BBB" w:rsidP="002420B7">
      <w:pPr>
        <w:pStyle w:val="NormalWeb"/>
        <w:spacing w:before="0" w:beforeAutospacing="0" w:after="0" w:afterAutospacing="0"/>
        <w:rPr>
          <w:rFonts w:ascii="Times New Roman" w:hAnsi="Times New Roman"/>
        </w:rPr>
      </w:pPr>
      <w:r w:rsidRPr="00A04969">
        <w:rPr>
          <w:rStyle w:val="FootnoteReference"/>
          <w:rFonts w:ascii="Times New Roman" w:hAnsi="Times New Roman"/>
        </w:rPr>
        <w:footnoteRef/>
      </w:r>
      <w:r w:rsidRPr="00A04969">
        <w:rPr>
          <w:rFonts w:ascii="Times New Roman" w:hAnsi="Times New Roman"/>
        </w:rPr>
        <w:t xml:space="preserve"> </w:t>
      </w:r>
      <w:proofErr w:type="gramStart"/>
      <w:r w:rsidRPr="00A04969">
        <w:rPr>
          <w:rFonts w:ascii="Times New Roman" w:hAnsi="Times New Roman"/>
        </w:rPr>
        <w:t xml:space="preserve">Anaya, </w:t>
      </w:r>
      <w:r w:rsidRPr="00A04969">
        <w:rPr>
          <w:rFonts w:ascii="Times New Roman" w:hAnsi="Times New Roman"/>
          <w:i/>
        </w:rPr>
        <w:t>supra</w:t>
      </w:r>
      <w:r w:rsidRPr="00A04969">
        <w:rPr>
          <w:rFonts w:ascii="Times New Roman" w:hAnsi="Times New Roman"/>
        </w:rPr>
        <w:t xml:space="preserve"> n. </w:t>
      </w:r>
      <w:r w:rsidRPr="00A04969">
        <w:rPr>
          <w:rFonts w:ascii="Times New Roman" w:hAnsi="Times New Roman"/>
        </w:rPr>
        <w:fldChar w:fldCharType="begin"/>
      </w:r>
      <w:r w:rsidRPr="00A04969">
        <w:rPr>
          <w:rFonts w:ascii="Times New Roman" w:hAnsi="Times New Roman"/>
        </w:rPr>
        <w:instrText xml:space="preserve"> NOTEREF _Ref334080664 \h </w:instrText>
      </w:r>
      <w:r w:rsidRPr="00A04969">
        <w:rPr>
          <w:rFonts w:ascii="Times New Roman" w:hAnsi="Times New Roman"/>
        </w:rPr>
      </w:r>
      <w:r w:rsidRPr="00A04969">
        <w:rPr>
          <w:rFonts w:ascii="Times New Roman" w:hAnsi="Times New Roman"/>
        </w:rPr>
        <w:fldChar w:fldCharType="separate"/>
      </w:r>
      <w:r>
        <w:rPr>
          <w:rFonts w:ascii="Times New Roman" w:hAnsi="Times New Roman"/>
        </w:rPr>
        <w:t>35</w:t>
      </w:r>
      <w:r w:rsidRPr="00A04969">
        <w:rPr>
          <w:rFonts w:ascii="Times New Roman" w:hAnsi="Times New Roman"/>
        </w:rPr>
        <w:fldChar w:fldCharType="end"/>
      </w:r>
      <w:r w:rsidRPr="00A04969">
        <w:rPr>
          <w:rFonts w:ascii="Times New Roman" w:hAnsi="Times New Roman"/>
        </w:rPr>
        <w:t xml:space="preserve"> at FN 5, </w:t>
      </w:r>
      <w:r w:rsidRPr="00A04969">
        <w:rPr>
          <w:rFonts w:ascii="Times New Roman" w:hAnsi="Times New Roman"/>
          <w:i/>
        </w:rPr>
        <w:t>quoting</w:t>
      </w:r>
      <w:r w:rsidRPr="00A04969">
        <w:rPr>
          <w:rFonts w:ascii="Times New Roman" w:hAnsi="Times New Roman"/>
        </w:rPr>
        <w:t xml:space="preserve"> Cobo, J., special rapporteur.</w:t>
      </w:r>
      <w:proofErr w:type="gramEnd"/>
      <w:r w:rsidRPr="00A04969">
        <w:rPr>
          <w:rFonts w:ascii="Times New Roman" w:hAnsi="Times New Roman"/>
        </w:rPr>
        <w:t xml:space="preserve"> U.N. Sub-Commission On Prevention Of Discrimination &amp; Protection Of Minorities, Study Of The Problem Of Discrimination Against Indigenous Populations 39, U.N. Doc. E/CN.4/Sub.2/1986/7/Add.4 (1986).</w:t>
      </w:r>
    </w:p>
  </w:footnote>
  <w:footnote w:id="339">
    <w:p w14:paraId="3EE9F07B" w14:textId="69995B4C"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proofErr w:type="gramStart"/>
      <w:r w:rsidRPr="00A04969">
        <w:rPr>
          <w:rFonts w:ascii="Times New Roman" w:hAnsi="Times New Roman" w:cs="Times New Roman"/>
          <w:sz w:val="20"/>
          <w:szCs w:val="20"/>
        </w:rPr>
        <w:t xml:space="preserve">ILO Handbook, </w:t>
      </w:r>
      <w:r w:rsidRPr="00A04969">
        <w:rPr>
          <w:rFonts w:ascii="Times New Roman" w:hAnsi="Times New Roman" w:cs="Times New Roman"/>
          <w:i/>
          <w:sz w:val="20"/>
          <w:szCs w:val="20"/>
        </w:rPr>
        <w:t>supra</w:t>
      </w:r>
      <w:r w:rsidRPr="00A04969">
        <w:rPr>
          <w:rFonts w:ascii="Times New Roman" w:hAnsi="Times New Roman" w:cs="Times New Roman"/>
          <w:sz w:val="20"/>
          <w:szCs w:val="20"/>
        </w:rPr>
        <w:t xml:space="preserve"> n. </w:t>
      </w:r>
      <w:r w:rsidRPr="00A04969">
        <w:rPr>
          <w:rFonts w:ascii="Times New Roman" w:hAnsi="Times New Roman" w:cs="Times New Roman"/>
          <w:sz w:val="20"/>
          <w:szCs w:val="20"/>
        </w:rPr>
        <w:fldChar w:fldCharType="begin"/>
      </w:r>
      <w:r w:rsidRPr="00A04969">
        <w:rPr>
          <w:rFonts w:ascii="Times New Roman" w:hAnsi="Times New Roman" w:cs="Times New Roman"/>
          <w:sz w:val="20"/>
          <w:szCs w:val="20"/>
        </w:rPr>
        <w:instrText xml:space="preserve"> NOTEREF _Ref333349219 \h </w:instrText>
      </w:r>
      <w:r w:rsidRPr="00A04969">
        <w:rPr>
          <w:rFonts w:ascii="Times New Roman" w:hAnsi="Times New Roman" w:cs="Times New Roman"/>
          <w:sz w:val="20"/>
          <w:szCs w:val="20"/>
        </w:rPr>
      </w:r>
      <w:r w:rsidRPr="00A04969">
        <w:rPr>
          <w:rFonts w:ascii="Times New Roman" w:hAnsi="Times New Roman" w:cs="Times New Roman"/>
          <w:sz w:val="20"/>
          <w:szCs w:val="20"/>
        </w:rPr>
        <w:fldChar w:fldCharType="separate"/>
      </w:r>
      <w:r>
        <w:rPr>
          <w:rFonts w:ascii="Times New Roman" w:hAnsi="Times New Roman" w:cs="Times New Roman"/>
          <w:sz w:val="20"/>
          <w:szCs w:val="20"/>
        </w:rPr>
        <w:t>95</w:t>
      </w:r>
      <w:r w:rsidRPr="00A04969">
        <w:rPr>
          <w:rFonts w:ascii="Times New Roman" w:hAnsi="Times New Roman" w:cs="Times New Roman"/>
          <w:sz w:val="20"/>
          <w:szCs w:val="20"/>
        </w:rPr>
        <w:fldChar w:fldCharType="end"/>
      </w:r>
      <w:r w:rsidRPr="00A04969">
        <w:rPr>
          <w:rFonts w:ascii="Times New Roman" w:hAnsi="Times New Roman" w:cs="Times New Roman"/>
          <w:sz w:val="20"/>
          <w:szCs w:val="20"/>
        </w:rPr>
        <w:t xml:space="preserve"> at 21.</w:t>
      </w:r>
      <w:proofErr w:type="gramEnd"/>
    </w:p>
  </w:footnote>
  <w:footnote w:id="340">
    <w:p w14:paraId="7D5FC079" w14:textId="61D940B6"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proofErr w:type="gramStart"/>
      <w:r w:rsidRPr="00A04969">
        <w:rPr>
          <w:rFonts w:ascii="Times New Roman" w:hAnsi="Times New Roman" w:cs="Times New Roman"/>
          <w:sz w:val="20"/>
          <w:szCs w:val="20"/>
        </w:rPr>
        <w:t xml:space="preserve">Global Compact Good Practice, </w:t>
      </w:r>
      <w:r w:rsidRPr="00A04969">
        <w:rPr>
          <w:rFonts w:ascii="Times New Roman" w:hAnsi="Times New Roman" w:cs="Times New Roman"/>
          <w:i/>
          <w:sz w:val="20"/>
          <w:szCs w:val="20"/>
        </w:rPr>
        <w:t>supra</w:t>
      </w:r>
      <w:r w:rsidRPr="00A04969">
        <w:rPr>
          <w:rFonts w:ascii="Times New Roman" w:hAnsi="Times New Roman" w:cs="Times New Roman"/>
          <w:sz w:val="20"/>
          <w:szCs w:val="20"/>
        </w:rPr>
        <w:t xml:space="preserve"> n. </w:t>
      </w:r>
      <w:r w:rsidRPr="00A04969">
        <w:rPr>
          <w:rFonts w:ascii="Times New Roman" w:hAnsi="Times New Roman" w:cs="Times New Roman"/>
          <w:sz w:val="20"/>
          <w:szCs w:val="20"/>
        </w:rPr>
        <w:fldChar w:fldCharType="begin"/>
      </w:r>
      <w:r w:rsidRPr="00A04969">
        <w:rPr>
          <w:rFonts w:ascii="Times New Roman" w:hAnsi="Times New Roman" w:cs="Times New Roman"/>
          <w:sz w:val="20"/>
          <w:szCs w:val="20"/>
        </w:rPr>
        <w:instrText xml:space="preserve"> NOTEREF _Ref334080159 \h </w:instrText>
      </w:r>
      <w:r w:rsidRPr="00A04969">
        <w:rPr>
          <w:rFonts w:ascii="Times New Roman" w:hAnsi="Times New Roman" w:cs="Times New Roman"/>
          <w:sz w:val="20"/>
          <w:szCs w:val="20"/>
        </w:rPr>
      </w:r>
      <w:r w:rsidRPr="00A04969">
        <w:rPr>
          <w:rFonts w:ascii="Times New Roman" w:hAnsi="Times New Roman" w:cs="Times New Roman"/>
          <w:sz w:val="20"/>
          <w:szCs w:val="20"/>
        </w:rPr>
        <w:fldChar w:fldCharType="separate"/>
      </w:r>
      <w:r>
        <w:rPr>
          <w:rFonts w:ascii="Times New Roman" w:hAnsi="Times New Roman" w:cs="Times New Roman"/>
          <w:sz w:val="20"/>
          <w:szCs w:val="20"/>
        </w:rPr>
        <w:t>40</w:t>
      </w:r>
      <w:r w:rsidRPr="00A04969">
        <w:rPr>
          <w:rFonts w:ascii="Times New Roman" w:hAnsi="Times New Roman" w:cs="Times New Roman"/>
          <w:sz w:val="20"/>
          <w:szCs w:val="20"/>
        </w:rPr>
        <w:fldChar w:fldCharType="end"/>
      </w:r>
      <w:r w:rsidRPr="00A04969">
        <w:rPr>
          <w:rFonts w:ascii="Times New Roman" w:hAnsi="Times New Roman" w:cs="Times New Roman"/>
          <w:sz w:val="20"/>
          <w:szCs w:val="20"/>
        </w:rPr>
        <w:t xml:space="preserve"> at 4.</w:t>
      </w:r>
      <w:proofErr w:type="gramEnd"/>
    </w:p>
  </w:footnote>
  <w:footnote w:id="341">
    <w:p w14:paraId="5D67F052" w14:textId="77777777"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r w:rsidRPr="00A04969">
        <w:rPr>
          <w:rFonts w:ascii="Times New Roman" w:hAnsi="Times New Roman" w:cs="Times New Roman"/>
          <w:i/>
          <w:sz w:val="20"/>
          <w:szCs w:val="20"/>
        </w:rPr>
        <w:t>Id.</w:t>
      </w:r>
    </w:p>
  </w:footnote>
  <w:footnote w:id="342">
    <w:p w14:paraId="777B581F" w14:textId="6F3F5F81"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proofErr w:type="gramStart"/>
      <w:r w:rsidRPr="00A04969">
        <w:rPr>
          <w:rFonts w:ascii="Times New Roman" w:hAnsi="Times New Roman" w:cs="Times New Roman"/>
          <w:sz w:val="20"/>
          <w:szCs w:val="20"/>
        </w:rPr>
        <w:t xml:space="preserve">Anaya, </w:t>
      </w:r>
      <w:r w:rsidRPr="00A04969">
        <w:rPr>
          <w:rFonts w:ascii="Times New Roman" w:hAnsi="Times New Roman" w:cs="Times New Roman"/>
          <w:i/>
          <w:sz w:val="20"/>
          <w:szCs w:val="20"/>
        </w:rPr>
        <w:t>supra</w:t>
      </w:r>
      <w:r w:rsidRPr="00A04969">
        <w:rPr>
          <w:rFonts w:ascii="Times New Roman" w:hAnsi="Times New Roman" w:cs="Times New Roman"/>
          <w:sz w:val="20"/>
          <w:szCs w:val="20"/>
        </w:rPr>
        <w:t xml:space="preserve"> n. </w:t>
      </w:r>
      <w:r w:rsidRPr="00A04969">
        <w:rPr>
          <w:rFonts w:ascii="Times New Roman" w:hAnsi="Times New Roman" w:cs="Times New Roman"/>
          <w:sz w:val="20"/>
          <w:szCs w:val="20"/>
        </w:rPr>
        <w:fldChar w:fldCharType="begin"/>
      </w:r>
      <w:r w:rsidRPr="00A04969">
        <w:rPr>
          <w:rFonts w:ascii="Times New Roman" w:hAnsi="Times New Roman" w:cs="Times New Roman"/>
          <w:sz w:val="20"/>
          <w:szCs w:val="20"/>
        </w:rPr>
        <w:instrText xml:space="preserve"> NOTEREF _Ref334080664 \h </w:instrText>
      </w:r>
      <w:r w:rsidRPr="00A04969">
        <w:rPr>
          <w:rFonts w:ascii="Times New Roman" w:hAnsi="Times New Roman" w:cs="Times New Roman"/>
          <w:sz w:val="20"/>
          <w:szCs w:val="20"/>
        </w:rPr>
      </w:r>
      <w:r w:rsidRPr="00A04969">
        <w:rPr>
          <w:rFonts w:ascii="Times New Roman" w:hAnsi="Times New Roman" w:cs="Times New Roman"/>
          <w:sz w:val="20"/>
          <w:szCs w:val="20"/>
        </w:rPr>
        <w:fldChar w:fldCharType="separate"/>
      </w:r>
      <w:r>
        <w:rPr>
          <w:rFonts w:ascii="Times New Roman" w:hAnsi="Times New Roman" w:cs="Times New Roman"/>
          <w:sz w:val="20"/>
          <w:szCs w:val="20"/>
        </w:rPr>
        <w:t>35</w:t>
      </w:r>
      <w:r w:rsidRPr="00A04969">
        <w:rPr>
          <w:rFonts w:ascii="Times New Roman" w:hAnsi="Times New Roman" w:cs="Times New Roman"/>
          <w:sz w:val="20"/>
          <w:szCs w:val="20"/>
        </w:rPr>
        <w:fldChar w:fldCharType="end"/>
      </w:r>
      <w:r w:rsidRPr="00A04969">
        <w:rPr>
          <w:rFonts w:ascii="Times New Roman" w:hAnsi="Times New Roman" w:cs="Times New Roman"/>
          <w:sz w:val="20"/>
          <w:szCs w:val="20"/>
        </w:rPr>
        <w:t xml:space="preserve"> at 11.</w:t>
      </w:r>
      <w:proofErr w:type="gramEnd"/>
    </w:p>
  </w:footnote>
  <w:footnote w:id="343">
    <w:p w14:paraId="51F09166" w14:textId="1B445225"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proofErr w:type="gramStart"/>
      <w:r w:rsidRPr="00A04969">
        <w:rPr>
          <w:rFonts w:ascii="Times New Roman" w:hAnsi="Times New Roman" w:cs="Times New Roman"/>
          <w:sz w:val="20"/>
          <w:szCs w:val="20"/>
        </w:rPr>
        <w:t xml:space="preserve">UNHRC 2009, </w:t>
      </w:r>
      <w:r w:rsidRPr="00A04969">
        <w:rPr>
          <w:rFonts w:ascii="Times New Roman" w:hAnsi="Times New Roman" w:cs="Times New Roman"/>
          <w:i/>
          <w:sz w:val="20"/>
          <w:szCs w:val="20"/>
        </w:rPr>
        <w:t>supra</w:t>
      </w:r>
      <w:r w:rsidRPr="00A04969">
        <w:rPr>
          <w:rFonts w:ascii="Times New Roman" w:hAnsi="Times New Roman" w:cs="Times New Roman"/>
          <w:sz w:val="20"/>
          <w:szCs w:val="20"/>
        </w:rPr>
        <w:t xml:space="preserve"> n. </w:t>
      </w:r>
      <w:r w:rsidRPr="00A04969">
        <w:rPr>
          <w:rFonts w:ascii="Times New Roman" w:hAnsi="Times New Roman" w:cs="Times New Roman"/>
          <w:sz w:val="20"/>
          <w:szCs w:val="20"/>
        </w:rPr>
        <w:fldChar w:fldCharType="begin"/>
      </w:r>
      <w:r w:rsidRPr="00A04969">
        <w:rPr>
          <w:rFonts w:ascii="Times New Roman" w:hAnsi="Times New Roman" w:cs="Times New Roman"/>
          <w:sz w:val="20"/>
          <w:szCs w:val="20"/>
        </w:rPr>
        <w:instrText xml:space="preserve"> NOTEREF _Ref334007277 \h </w:instrText>
      </w:r>
      <w:r w:rsidRPr="00A04969">
        <w:rPr>
          <w:rFonts w:ascii="Times New Roman" w:hAnsi="Times New Roman" w:cs="Times New Roman"/>
          <w:sz w:val="20"/>
          <w:szCs w:val="20"/>
        </w:rPr>
      </w:r>
      <w:r w:rsidRPr="00A04969">
        <w:rPr>
          <w:rFonts w:ascii="Times New Roman" w:hAnsi="Times New Roman" w:cs="Times New Roman"/>
          <w:sz w:val="20"/>
          <w:szCs w:val="20"/>
        </w:rPr>
        <w:fldChar w:fldCharType="separate"/>
      </w:r>
      <w:r>
        <w:rPr>
          <w:rFonts w:ascii="Times New Roman" w:hAnsi="Times New Roman" w:cs="Times New Roman"/>
          <w:sz w:val="20"/>
          <w:szCs w:val="20"/>
        </w:rPr>
        <w:t>180</w:t>
      </w:r>
      <w:r w:rsidRPr="00A04969">
        <w:rPr>
          <w:rFonts w:ascii="Times New Roman" w:hAnsi="Times New Roman" w:cs="Times New Roman"/>
          <w:sz w:val="20"/>
          <w:szCs w:val="20"/>
        </w:rPr>
        <w:fldChar w:fldCharType="end"/>
      </w:r>
      <w:r w:rsidRPr="00A04969">
        <w:rPr>
          <w:rFonts w:ascii="Times New Roman" w:hAnsi="Times New Roman" w:cs="Times New Roman"/>
          <w:sz w:val="20"/>
          <w:szCs w:val="20"/>
        </w:rPr>
        <w:t xml:space="preserve"> ¶</w:t>
      </w:r>
      <w:r w:rsidRPr="00A04969">
        <w:rPr>
          <w:rFonts w:ascii="Times New Roman" w:hAnsi="Times New Roman" w:cs="Times New Roman"/>
          <w:color w:val="1F1F1F"/>
          <w:sz w:val="20"/>
          <w:szCs w:val="20"/>
        </w:rPr>
        <w:t xml:space="preserve"> 47.</w:t>
      </w:r>
      <w:proofErr w:type="gramEnd"/>
    </w:p>
  </w:footnote>
  <w:footnote w:id="344">
    <w:p w14:paraId="5E31696D" w14:textId="77777777" w:rsidR="00D43BBB" w:rsidRPr="00A04969" w:rsidRDefault="00D43BBB" w:rsidP="002D17B9">
      <w:pPr>
        <w:rPr>
          <w:rFonts w:eastAsia="Times New Roman"/>
          <w:color w:val="000000"/>
          <w:sz w:val="20"/>
          <w:szCs w:val="20"/>
          <w:lang w:val="en-US"/>
        </w:rPr>
      </w:pPr>
      <w:r w:rsidRPr="00A04969">
        <w:rPr>
          <w:rStyle w:val="FootnoteReference"/>
          <w:sz w:val="20"/>
          <w:szCs w:val="20"/>
        </w:rPr>
        <w:footnoteRef/>
      </w:r>
      <w:r w:rsidRPr="00A04969">
        <w:rPr>
          <w:sz w:val="20"/>
          <w:szCs w:val="20"/>
        </w:rPr>
        <w:t xml:space="preserve"> </w:t>
      </w:r>
      <w:proofErr w:type="gramStart"/>
      <w:r w:rsidRPr="00A04969">
        <w:rPr>
          <w:sz w:val="20"/>
          <w:szCs w:val="20"/>
        </w:rPr>
        <w:t xml:space="preserve">Anchorage Declaration, supra n. </w:t>
      </w:r>
      <w:r w:rsidRPr="00A04969">
        <w:rPr>
          <w:sz w:val="20"/>
          <w:szCs w:val="20"/>
        </w:rPr>
        <w:fldChar w:fldCharType="begin"/>
      </w:r>
      <w:r w:rsidRPr="00A04969">
        <w:rPr>
          <w:sz w:val="20"/>
          <w:szCs w:val="20"/>
        </w:rPr>
        <w:instrText xml:space="preserve"> NOTEREF _Ref334008729 \h </w:instrText>
      </w:r>
      <w:r w:rsidRPr="00A04969">
        <w:rPr>
          <w:sz w:val="20"/>
          <w:szCs w:val="20"/>
        </w:rPr>
      </w:r>
      <w:r w:rsidRPr="00A04969">
        <w:rPr>
          <w:sz w:val="20"/>
          <w:szCs w:val="20"/>
        </w:rPr>
        <w:fldChar w:fldCharType="separate"/>
      </w:r>
      <w:r>
        <w:rPr>
          <w:sz w:val="20"/>
          <w:szCs w:val="20"/>
        </w:rPr>
        <w:t>93</w:t>
      </w:r>
      <w:r w:rsidRPr="00A04969">
        <w:rPr>
          <w:sz w:val="20"/>
          <w:szCs w:val="20"/>
        </w:rPr>
        <w:fldChar w:fldCharType="end"/>
      </w:r>
      <w:r w:rsidRPr="00A04969">
        <w:rPr>
          <w:sz w:val="20"/>
          <w:szCs w:val="20"/>
        </w:rPr>
        <w:t xml:space="preserve"> ¶ 11.</w:t>
      </w:r>
      <w:proofErr w:type="gramEnd"/>
    </w:p>
  </w:footnote>
  <w:footnote w:id="345">
    <w:p w14:paraId="1506E4E0" w14:textId="04207799" w:rsidR="00D43BBB" w:rsidRPr="00A04969" w:rsidRDefault="00D43BBB" w:rsidP="002420B7">
      <w:pPr>
        <w:widowControl w:val="0"/>
        <w:numPr>
          <w:ilvl w:val="0"/>
          <w:numId w:val="1"/>
        </w:numPr>
        <w:tabs>
          <w:tab w:val="left" w:pos="220"/>
          <w:tab w:val="left" w:pos="720"/>
        </w:tabs>
        <w:autoSpaceDE w:val="0"/>
        <w:autoSpaceDN w:val="0"/>
        <w:adjustRightInd w:val="0"/>
        <w:ind w:left="0" w:firstLine="0"/>
        <w:rPr>
          <w:sz w:val="20"/>
          <w:szCs w:val="20"/>
        </w:rPr>
      </w:pPr>
      <w:r w:rsidRPr="00A04969">
        <w:rPr>
          <w:rStyle w:val="FootnoteReference"/>
          <w:sz w:val="20"/>
          <w:szCs w:val="20"/>
        </w:rPr>
        <w:footnoteRef/>
      </w:r>
      <w:r w:rsidRPr="00A04969">
        <w:rPr>
          <w:sz w:val="20"/>
          <w:szCs w:val="20"/>
        </w:rPr>
        <w:t xml:space="preserve"> Tlicho Agreement, § 23.4.1 (Aug. 25, 2003).</w:t>
      </w:r>
    </w:p>
  </w:footnote>
  <w:footnote w:id="346">
    <w:p w14:paraId="3484AD44" w14:textId="1C6FC776" w:rsidR="00D43BBB" w:rsidRPr="00A04969" w:rsidRDefault="00D43BBB" w:rsidP="002420B7">
      <w:pPr>
        <w:widowControl w:val="0"/>
        <w:autoSpaceDE w:val="0"/>
        <w:autoSpaceDN w:val="0"/>
        <w:adjustRightInd w:val="0"/>
        <w:rPr>
          <w:sz w:val="20"/>
          <w:szCs w:val="20"/>
          <w:lang w:val="en-US"/>
        </w:rPr>
      </w:pPr>
      <w:r w:rsidRPr="00A04969">
        <w:rPr>
          <w:rStyle w:val="FootnoteReference"/>
          <w:sz w:val="20"/>
          <w:szCs w:val="20"/>
        </w:rPr>
        <w:footnoteRef/>
      </w:r>
      <w:r w:rsidRPr="00A04969">
        <w:rPr>
          <w:sz w:val="20"/>
          <w:szCs w:val="20"/>
        </w:rPr>
        <w:t xml:space="preserve"> </w:t>
      </w:r>
      <w:proofErr w:type="gramStart"/>
      <w:r w:rsidRPr="00A04969">
        <w:rPr>
          <w:bCs/>
          <w:sz w:val="20"/>
          <w:szCs w:val="20"/>
        </w:rPr>
        <w:t>FPIC Methodologies Report</w:t>
      </w:r>
      <w:r w:rsidRPr="00A04969">
        <w:rPr>
          <w:sz w:val="20"/>
          <w:szCs w:val="20"/>
        </w:rPr>
        <w:t xml:space="preserve">, </w:t>
      </w:r>
      <w:r w:rsidRPr="00A04969">
        <w:rPr>
          <w:i/>
          <w:sz w:val="20"/>
          <w:szCs w:val="20"/>
        </w:rPr>
        <w:t>supra</w:t>
      </w:r>
      <w:r w:rsidRPr="00A04969">
        <w:rPr>
          <w:sz w:val="20"/>
          <w:szCs w:val="20"/>
        </w:rPr>
        <w:t xml:space="preserve"> n. </w:t>
      </w:r>
      <w:r w:rsidRPr="00A04969">
        <w:rPr>
          <w:sz w:val="20"/>
          <w:szCs w:val="20"/>
        </w:rPr>
        <w:fldChar w:fldCharType="begin"/>
      </w:r>
      <w:r w:rsidRPr="00A04969">
        <w:rPr>
          <w:sz w:val="20"/>
          <w:szCs w:val="20"/>
        </w:rPr>
        <w:instrText xml:space="preserve"> NOTEREF _Ref334008603 \h </w:instrText>
      </w:r>
      <w:r w:rsidRPr="00A04969">
        <w:rPr>
          <w:sz w:val="20"/>
          <w:szCs w:val="20"/>
        </w:rPr>
      </w:r>
      <w:r w:rsidRPr="00A04969">
        <w:rPr>
          <w:sz w:val="20"/>
          <w:szCs w:val="20"/>
        </w:rPr>
        <w:fldChar w:fldCharType="separate"/>
      </w:r>
      <w:r>
        <w:rPr>
          <w:sz w:val="20"/>
          <w:szCs w:val="20"/>
        </w:rPr>
        <w:t>120</w:t>
      </w:r>
      <w:r w:rsidRPr="00A04969">
        <w:rPr>
          <w:sz w:val="20"/>
          <w:szCs w:val="20"/>
        </w:rPr>
        <w:fldChar w:fldCharType="end"/>
      </w:r>
      <w:r w:rsidRPr="00A04969">
        <w:rPr>
          <w:sz w:val="20"/>
          <w:szCs w:val="20"/>
        </w:rPr>
        <w:t xml:space="preserve"> ¶</w:t>
      </w:r>
      <w:r w:rsidRPr="00A04969">
        <w:rPr>
          <w:bCs/>
          <w:sz w:val="20"/>
          <w:szCs w:val="20"/>
          <w:lang w:val="en-US"/>
        </w:rPr>
        <w:t xml:space="preserve"> 35.</w:t>
      </w:r>
      <w:proofErr w:type="gramEnd"/>
    </w:p>
  </w:footnote>
  <w:footnote w:id="347">
    <w:p w14:paraId="448731A7" w14:textId="661AE133"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proofErr w:type="gramStart"/>
      <w:r w:rsidRPr="00A04969">
        <w:rPr>
          <w:rFonts w:ascii="Times New Roman" w:hAnsi="Times New Roman" w:cs="Times New Roman"/>
          <w:sz w:val="20"/>
          <w:szCs w:val="20"/>
        </w:rPr>
        <w:t xml:space="preserve">Global Compact Good Practice, </w:t>
      </w:r>
      <w:r w:rsidRPr="00A04969">
        <w:rPr>
          <w:rFonts w:ascii="Times New Roman" w:hAnsi="Times New Roman" w:cs="Times New Roman"/>
          <w:i/>
          <w:sz w:val="20"/>
          <w:szCs w:val="20"/>
        </w:rPr>
        <w:t>supra</w:t>
      </w:r>
      <w:r w:rsidRPr="00A04969">
        <w:rPr>
          <w:rFonts w:ascii="Times New Roman" w:hAnsi="Times New Roman" w:cs="Times New Roman"/>
          <w:sz w:val="20"/>
          <w:szCs w:val="20"/>
        </w:rPr>
        <w:t xml:space="preserve"> n. </w:t>
      </w:r>
      <w:r w:rsidRPr="00A04969">
        <w:rPr>
          <w:rFonts w:ascii="Times New Roman" w:hAnsi="Times New Roman" w:cs="Times New Roman"/>
          <w:sz w:val="20"/>
          <w:szCs w:val="20"/>
        </w:rPr>
        <w:fldChar w:fldCharType="begin"/>
      </w:r>
      <w:r w:rsidRPr="00A04969">
        <w:rPr>
          <w:rFonts w:ascii="Times New Roman" w:hAnsi="Times New Roman" w:cs="Times New Roman"/>
          <w:sz w:val="20"/>
          <w:szCs w:val="20"/>
        </w:rPr>
        <w:instrText xml:space="preserve"> NOTEREF _Ref334080159 \h </w:instrText>
      </w:r>
      <w:r w:rsidRPr="00A04969">
        <w:rPr>
          <w:rFonts w:ascii="Times New Roman" w:hAnsi="Times New Roman" w:cs="Times New Roman"/>
          <w:sz w:val="20"/>
          <w:szCs w:val="20"/>
        </w:rPr>
      </w:r>
      <w:r w:rsidRPr="00A04969">
        <w:rPr>
          <w:rFonts w:ascii="Times New Roman" w:hAnsi="Times New Roman" w:cs="Times New Roman"/>
          <w:sz w:val="20"/>
          <w:szCs w:val="20"/>
        </w:rPr>
        <w:fldChar w:fldCharType="separate"/>
      </w:r>
      <w:r>
        <w:rPr>
          <w:rFonts w:ascii="Times New Roman" w:hAnsi="Times New Roman" w:cs="Times New Roman"/>
          <w:sz w:val="20"/>
          <w:szCs w:val="20"/>
        </w:rPr>
        <w:t>40</w:t>
      </w:r>
      <w:r w:rsidRPr="00A04969">
        <w:rPr>
          <w:rFonts w:ascii="Times New Roman" w:hAnsi="Times New Roman" w:cs="Times New Roman"/>
          <w:sz w:val="20"/>
          <w:szCs w:val="20"/>
        </w:rPr>
        <w:fldChar w:fldCharType="end"/>
      </w:r>
      <w:r w:rsidRPr="00A04969">
        <w:rPr>
          <w:rFonts w:ascii="Times New Roman" w:hAnsi="Times New Roman" w:cs="Times New Roman"/>
          <w:sz w:val="20"/>
          <w:szCs w:val="20"/>
        </w:rPr>
        <w:t xml:space="preserve"> at 3.</w:t>
      </w:r>
      <w:proofErr w:type="gramEnd"/>
    </w:p>
  </w:footnote>
  <w:footnote w:id="348">
    <w:p w14:paraId="1188AA10" w14:textId="6A367866"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r w:rsidRPr="00A04969">
        <w:rPr>
          <w:rFonts w:ascii="Times New Roman" w:hAnsi="Times New Roman" w:cs="Times New Roman"/>
          <w:i/>
          <w:sz w:val="20"/>
          <w:szCs w:val="20"/>
        </w:rPr>
        <w:t>Id.</w:t>
      </w:r>
      <w:r w:rsidRPr="00A04969">
        <w:rPr>
          <w:rFonts w:ascii="Times New Roman" w:hAnsi="Times New Roman" w:cs="Times New Roman"/>
          <w:sz w:val="20"/>
          <w:szCs w:val="20"/>
        </w:rPr>
        <w:t xml:space="preserve"> at 7-9</w:t>
      </w:r>
      <w:r w:rsidRPr="00A04969">
        <w:rPr>
          <w:rFonts w:ascii="Times New Roman" w:hAnsi="Times New Roman" w:cs="Times New Roman"/>
          <w:color w:val="FF0000"/>
          <w:sz w:val="20"/>
          <w:szCs w:val="20"/>
        </w:rPr>
        <w:t>.</w:t>
      </w:r>
    </w:p>
  </w:footnote>
  <w:footnote w:id="349">
    <w:p w14:paraId="38D11AB5" w14:textId="03193B68"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proofErr w:type="gramStart"/>
      <w:r w:rsidRPr="00A04969">
        <w:rPr>
          <w:rFonts w:ascii="Times New Roman" w:hAnsi="Times New Roman" w:cs="Times New Roman"/>
          <w:sz w:val="20"/>
          <w:szCs w:val="20"/>
        </w:rPr>
        <w:t xml:space="preserve">UN-REDD Guidelines on FPIC, </w:t>
      </w:r>
      <w:r w:rsidRPr="00A04969">
        <w:rPr>
          <w:rFonts w:ascii="Times New Roman" w:hAnsi="Times New Roman" w:cs="Times New Roman"/>
          <w:i/>
          <w:sz w:val="20"/>
          <w:szCs w:val="20"/>
        </w:rPr>
        <w:t>supra</w:t>
      </w:r>
      <w:r w:rsidRPr="00A04969">
        <w:rPr>
          <w:rFonts w:ascii="Times New Roman" w:hAnsi="Times New Roman" w:cs="Times New Roman"/>
          <w:sz w:val="20"/>
          <w:szCs w:val="20"/>
        </w:rPr>
        <w:t xml:space="preserve"> n. </w:t>
      </w:r>
      <w:r w:rsidRPr="00A04969">
        <w:rPr>
          <w:rFonts w:ascii="Times New Roman" w:hAnsi="Times New Roman" w:cs="Times New Roman"/>
          <w:sz w:val="20"/>
          <w:szCs w:val="20"/>
        </w:rPr>
        <w:fldChar w:fldCharType="begin"/>
      </w:r>
      <w:r w:rsidRPr="00A04969">
        <w:rPr>
          <w:rFonts w:ascii="Times New Roman" w:hAnsi="Times New Roman" w:cs="Times New Roman"/>
          <w:sz w:val="20"/>
          <w:szCs w:val="20"/>
        </w:rPr>
        <w:instrText xml:space="preserve"> NOTEREF _Ref334002225 \h </w:instrText>
      </w:r>
      <w:r w:rsidRPr="00A04969">
        <w:rPr>
          <w:rFonts w:ascii="Times New Roman" w:hAnsi="Times New Roman" w:cs="Times New Roman"/>
          <w:sz w:val="20"/>
          <w:szCs w:val="20"/>
        </w:rPr>
      </w:r>
      <w:r w:rsidRPr="00A04969">
        <w:rPr>
          <w:rFonts w:ascii="Times New Roman" w:hAnsi="Times New Roman" w:cs="Times New Roman"/>
          <w:sz w:val="20"/>
          <w:szCs w:val="20"/>
        </w:rPr>
        <w:fldChar w:fldCharType="separate"/>
      </w:r>
      <w:r>
        <w:rPr>
          <w:rFonts w:ascii="Times New Roman" w:hAnsi="Times New Roman" w:cs="Times New Roman"/>
          <w:sz w:val="20"/>
          <w:szCs w:val="20"/>
        </w:rPr>
        <w:t>153</w:t>
      </w:r>
      <w:r w:rsidRPr="00A04969">
        <w:rPr>
          <w:rFonts w:ascii="Times New Roman" w:hAnsi="Times New Roman" w:cs="Times New Roman"/>
          <w:sz w:val="20"/>
          <w:szCs w:val="20"/>
        </w:rPr>
        <w:fldChar w:fldCharType="end"/>
      </w:r>
      <w:r w:rsidRPr="00A04969">
        <w:rPr>
          <w:rFonts w:ascii="Times New Roman" w:hAnsi="Times New Roman" w:cs="Times New Roman"/>
          <w:sz w:val="20"/>
          <w:szCs w:val="20"/>
        </w:rPr>
        <w:t xml:space="preserve"> at 16.</w:t>
      </w:r>
      <w:proofErr w:type="gramEnd"/>
    </w:p>
  </w:footnote>
  <w:footnote w:id="350">
    <w:p w14:paraId="42F0EBD9" w14:textId="21032238"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National Park Service &amp; Advisory Council on Historic Preservation, </w:t>
      </w:r>
      <w:r w:rsidRPr="00A04969">
        <w:rPr>
          <w:rFonts w:ascii="Times New Roman" w:hAnsi="Times New Roman" w:cs="Times New Roman"/>
          <w:iCs/>
          <w:sz w:val="20"/>
          <w:szCs w:val="20"/>
        </w:rPr>
        <w:t>The Secretary of the Interior’s Standards and Guidelines for Federal Agency Historic Preservation Programs Pursuant to the National Historic Preservation Act</w:t>
      </w:r>
      <w:r w:rsidRPr="00A04969">
        <w:rPr>
          <w:rFonts w:ascii="Times New Roman" w:hAnsi="Times New Roman" w:cs="Times New Roman"/>
          <w:sz w:val="20"/>
          <w:szCs w:val="20"/>
        </w:rPr>
        <w:t xml:space="preserve"> at 30 (1998). </w:t>
      </w:r>
    </w:p>
  </w:footnote>
  <w:footnote w:id="351">
    <w:p w14:paraId="7CB5C47C" w14:textId="59328B0A"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proofErr w:type="gramStart"/>
      <w:r w:rsidRPr="00A04969">
        <w:rPr>
          <w:rFonts w:ascii="Times New Roman" w:hAnsi="Times New Roman" w:cs="Times New Roman"/>
          <w:sz w:val="20"/>
          <w:szCs w:val="20"/>
        </w:rPr>
        <w:t xml:space="preserve">IFC Good Practice Handbook, </w:t>
      </w:r>
      <w:r w:rsidRPr="00A04969">
        <w:rPr>
          <w:rFonts w:ascii="Times New Roman" w:hAnsi="Times New Roman" w:cs="Times New Roman"/>
          <w:i/>
          <w:sz w:val="20"/>
          <w:szCs w:val="20"/>
        </w:rPr>
        <w:t>supra</w:t>
      </w:r>
      <w:r w:rsidRPr="00A04969">
        <w:rPr>
          <w:rFonts w:ascii="Times New Roman" w:hAnsi="Times New Roman" w:cs="Times New Roman"/>
          <w:sz w:val="20"/>
          <w:szCs w:val="20"/>
        </w:rPr>
        <w:t xml:space="preserve"> n. </w:t>
      </w:r>
      <w:r w:rsidRPr="00A04969">
        <w:rPr>
          <w:rFonts w:ascii="Times New Roman" w:hAnsi="Times New Roman" w:cs="Times New Roman"/>
          <w:sz w:val="20"/>
          <w:szCs w:val="20"/>
        </w:rPr>
        <w:fldChar w:fldCharType="begin"/>
      </w:r>
      <w:r w:rsidRPr="00A04969">
        <w:rPr>
          <w:rFonts w:ascii="Times New Roman" w:hAnsi="Times New Roman" w:cs="Times New Roman"/>
          <w:sz w:val="20"/>
          <w:szCs w:val="20"/>
        </w:rPr>
        <w:instrText xml:space="preserve"> NOTEREF _Ref334083573 \h </w:instrText>
      </w:r>
      <w:r w:rsidRPr="00A04969">
        <w:rPr>
          <w:rFonts w:ascii="Times New Roman" w:hAnsi="Times New Roman" w:cs="Times New Roman"/>
          <w:sz w:val="20"/>
          <w:szCs w:val="20"/>
        </w:rPr>
      </w:r>
      <w:r w:rsidRPr="00A04969">
        <w:rPr>
          <w:rFonts w:ascii="Times New Roman" w:hAnsi="Times New Roman" w:cs="Times New Roman"/>
          <w:sz w:val="20"/>
          <w:szCs w:val="20"/>
        </w:rPr>
        <w:fldChar w:fldCharType="separate"/>
      </w:r>
      <w:r>
        <w:rPr>
          <w:rFonts w:ascii="Times New Roman" w:hAnsi="Times New Roman" w:cs="Times New Roman"/>
          <w:sz w:val="20"/>
          <w:szCs w:val="20"/>
        </w:rPr>
        <w:t>53</w:t>
      </w:r>
      <w:r w:rsidRPr="00A04969">
        <w:rPr>
          <w:rFonts w:ascii="Times New Roman" w:hAnsi="Times New Roman" w:cs="Times New Roman"/>
          <w:sz w:val="20"/>
          <w:szCs w:val="20"/>
        </w:rPr>
        <w:fldChar w:fldCharType="end"/>
      </w:r>
      <w:r w:rsidRPr="00A04969">
        <w:rPr>
          <w:rFonts w:ascii="Times New Roman" w:hAnsi="Times New Roman" w:cs="Times New Roman"/>
          <w:sz w:val="20"/>
          <w:szCs w:val="20"/>
        </w:rPr>
        <w:t xml:space="preserve"> at 39.</w:t>
      </w:r>
      <w:proofErr w:type="gramEnd"/>
    </w:p>
  </w:footnote>
  <w:footnote w:id="352">
    <w:p w14:paraId="2F94BAFA" w14:textId="6AC5523B" w:rsidR="00D43BBB" w:rsidRPr="00A04969" w:rsidRDefault="00D43BBB" w:rsidP="002420B7">
      <w:pPr>
        <w:widowControl w:val="0"/>
        <w:autoSpaceDE w:val="0"/>
        <w:autoSpaceDN w:val="0"/>
        <w:adjustRightInd w:val="0"/>
        <w:rPr>
          <w:sz w:val="20"/>
          <w:szCs w:val="20"/>
        </w:rPr>
      </w:pPr>
      <w:r w:rsidRPr="00A04969">
        <w:rPr>
          <w:rStyle w:val="FootnoteReference"/>
          <w:sz w:val="20"/>
          <w:szCs w:val="20"/>
        </w:rPr>
        <w:footnoteRef/>
      </w:r>
      <w:r w:rsidRPr="00A04969">
        <w:rPr>
          <w:sz w:val="20"/>
          <w:szCs w:val="20"/>
        </w:rPr>
        <w:t xml:space="preserve"> Executive Office of the President, Office of Management and Budget, Memorandum for the Heads of Executive Departments and Agencies, and Independent Regulatory Agencies, </w:t>
      </w:r>
      <w:r w:rsidRPr="00A04969">
        <w:rPr>
          <w:iCs/>
          <w:sz w:val="20"/>
          <w:szCs w:val="20"/>
        </w:rPr>
        <w:t>Guidance for Implementing E.O. 13175, Consultation and Coordination with Indian Tribal Governments</w:t>
      </w:r>
      <w:r w:rsidRPr="00A04969">
        <w:rPr>
          <w:i/>
          <w:iCs/>
          <w:sz w:val="20"/>
          <w:szCs w:val="20"/>
        </w:rPr>
        <w:t xml:space="preserve"> </w:t>
      </w:r>
      <w:r w:rsidRPr="00A04969">
        <w:rPr>
          <w:sz w:val="20"/>
          <w:szCs w:val="20"/>
        </w:rPr>
        <w:t>§ 8 (July 30, 2010).</w:t>
      </w:r>
    </w:p>
  </w:footnote>
  <w:footnote w:id="353">
    <w:p w14:paraId="3554B6BB" w14:textId="5FF84890"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proofErr w:type="gramStart"/>
      <w:r w:rsidRPr="00A04969">
        <w:rPr>
          <w:rFonts w:ascii="Times New Roman" w:hAnsi="Times New Roman" w:cs="Times New Roman"/>
          <w:sz w:val="20"/>
          <w:szCs w:val="20"/>
        </w:rPr>
        <w:t xml:space="preserve">SDWG IK, </w:t>
      </w:r>
      <w:r w:rsidRPr="00A04969">
        <w:rPr>
          <w:rFonts w:ascii="Times New Roman" w:hAnsi="Times New Roman" w:cs="Times New Roman"/>
          <w:i/>
          <w:sz w:val="20"/>
          <w:szCs w:val="20"/>
        </w:rPr>
        <w:t>supra</w:t>
      </w:r>
      <w:r w:rsidRPr="00A04969">
        <w:rPr>
          <w:rFonts w:ascii="Times New Roman" w:hAnsi="Times New Roman" w:cs="Times New Roman"/>
          <w:sz w:val="20"/>
          <w:szCs w:val="20"/>
        </w:rPr>
        <w:t xml:space="preserve"> n. </w:t>
      </w:r>
      <w:r w:rsidRPr="00A04969">
        <w:rPr>
          <w:rFonts w:ascii="Times New Roman" w:hAnsi="Times New Roman" w:cs="Times New Roman"/>
          <w:sz w:val="20"/>
          <w:szCs w:val="20"/>
        </w:rPr>
        <w:fldChar w:fldCharType="begin"/>
      </w:r>
      <w:r w:rsidRPr="00A04969">
        <w:rPr>
          <w:rFonts w:ascii="Times New Roman" w:hAnsi="Times New Roman" w:cs="Times New Roman"/>
          <w:sz w:val="20"/>
          <w:szCs w:val="20"/>
        </w:rPr>
        <w:instrText xml:space="preserve"> NOTEREF _Ref333994849 \h </w:instrText>
      </w:r>
      <w:r w:rsidRPr="00A04969">
        <w:rPr>
          <w:rFonts w:ascii="Times New Roman" w:hAnsi="Times New Roman" w:cs="Times New Roman"/>
          <w:sz w:val="20"/>
          <w:szCs w:val="20"/>
        </w:rPr>
      </w:r>
      <w:r w:rsidRPr="00A04969">
        <w:rPr>
          <w:rFonts w:ascii="Times New Roman" w:hAnsi="Times New Roman" w:cs="Times New Roman"/>
          <w:sz w:val="20"/>
          <w:szCs w:val="20"/>
        </w:rPr>
        <w:fldChar w:fldCharType="separate"/>
      </w:r>
      <w:r>
        <w:rPr>
          <w:rFonts w:ascii="Times New Roman" w:hAnsi="Times New Roman" w:cs="Times New Roman"/>
          <w:sz w:val="20"/>
          <w:szCs w:val="20"/>
        </w:rPr>
        <w:t>78</w:t>
      </w:r>
      <w:r w:rsidRPr="00A04969">
        <w:rPr>
          <w:rFonts w:ascii="Times New Roman" w:hAnsi="Times New Roman" w:cs="Times New Roman"/>
          <w:sz w:val="20"/>
          <w:szCs w:val="20"/>
        </w:rPr>
        <w:fldChar w:fldCharType="end"/>
      </w:r>
      <w:r w:rsidRPr="00A04969">
        <w:rPr>
          <w:rFonts w:ascii="Times New Roman" w:hAnsi="Times New Roman" w:cs="Times New Roman"/>
          <w:sz w:val="20"/>
          <w:szCs w:val="20"/>
        </w:rPr>
        <w:t>.</w:t>
      </w:r>
      <w:proofErr w:type="gramEnd"/>
    </w:p>
  </w:footnote>
  <w:footnote w:id="354">
    <w:p w14:paraId="77D5C5CF" w14:textId="167B2AF1"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r w:rsidRPr="00A04969">
        <w:rPr>
          <w:rFonts w:ascii="Times New Roman" w:hAnsi="Times New Roman" w:cs="Times New Roman"/>
          <w:color w:val="1A1A1A"/>
          <w:sz w:val="20"/>
          <w:szCs w:val="20"/>
        </w:rPr>
        <w:t xml:space="preserve">Akwé Kon: Voluntary Guidelines, </w:t>
      </w:r>
      <w:r w:rsidRPr="00A04969">
        <w:rPr>
          <w:rFonts w:ascii="Times New Roman" w:hAnsi="Times New Roman" w:cs="Times New Roman"/>
          <w:i/>
          <w:color w:val="1A1A1A"/>
          <w:sz w:val="20"/>
          <w:szCs w:val="20"/>
        </w:rPr>
        <w:t>supra</w:t>
      </w:r>
      <w:r w:rsidRPr="00A04969">
        <w:rPr>
          <w:rFonts w:ascii="Times New Roman" w:hAnsi="Times New Roman" w:cs="Times New Roman"/>
          <w:color w:val="1A1A1A"/>
          <w:sz w:val="20"/>
          <w:szCs w:val="20"/>
        </w:rPr>
        <w:t xml:space="preserve"> n. </w:t>
      </w:r>
      <w:r w:rsidRPr="00A04969">
        <w:rPr>
          <w:rFonts w:ascii="Times New Roman" w:hAnsi="Times New Roman" w:cs="Times New Roman"/>
          <w:color w:val="1A1A1A"/>
          <w:sz w:val="20"/>
          <w:szCs w:val="20"/>
        </w:rPr>
        <w:fldChar w:fldCharType="begin"/>
      </w:r>
      <w:r w:rsidRPr="00A04969">
        <w:rPr>
          <w:rFonts w:ascii="Times New Roman" w:hAnsi="Times New Roman" w:cs="Times New Roman"/>
          <w:color w:val="1A1A1A"/>
          <w:sz w:val="20"/>
          <w:szCs w:val="20"/>
        </w:rPr>
        <w:instrText xml:space="preserve"> NOTEREF _Ref333348796 \h </w:instrText>
      </w:r>
      <w:r w:rsidRPr="00A04969">
        <w:rPr>
          <w:rFonts w:ascii="Times New Roman" w:hAnsi="Times New Roman" w:cs="Times New Roman"/>
          <w:color w:val="1A1A1A"/>
          <w:sz w:val="20"/>
          <w:szCs w:val="20"/>
        </w:rPr>
      </w:r>
      <w:r w:rsidRPr="00A04969">
        <w:rPr>
          <w:rFonts w:ascii="Times New Roman" w:hAnsi="Times New Roman" w:cs="Times New Roman"/>
          <w:color w:val="1A1A1A"/>
          <w:sz w:val="20"/>
          <w:szCs w:val="20"/>
        </w:rPr>
        <w:fldChar w:fldCharType="separate"/>
      </w:r>
      <w:r>
        <w:rPr>
          <w:rFonts w:ascii="Times New Roman" w:hAnsi="Times New Roman" w:cs="Times New Roman"/>
          <w:color w:val="1A1A1A"/>
          <w:sz w:val="20"/>
          <w:szCs w:val="20"/>
        </w:rPr>
        <w:t>13</w:t>
      </w:r>
      <w:r w:rsidRPr="00A04969">
        <w:rPr>
          <w:rFonts w:ascii="Times New Roman" w:hAnsi="Times New Roman" w:cs="Times New Roman"/>
          <w:color w:val="1A1A1A"/>
          <w:sz w:val="20"/>
          <w:szCs w:val="20"/>
        </w:rPr>
        <w:fldChar w:fldCharType="end"/>
      </w:r>
      <w:r w:rsidRPr="00A04969">
        <w:rPr>
          <w:rFonts w:ascii="Times New Roman" w:hAnsi="Times New Roman" w:cs="Times New Roman"/>
          <w:color w:val="1A1A1A"/>
          <w:sz w:val="20"/>
          <w:szCs w:val="20"/>
        </w:rPr>
        <w:t xml:space="preserve"> at 11. </w:t>
      </w:r>
    </w:p>
  </w:footnote>
  <w:footnote w:id="355">
    <w:p w14:paraId="5F1290DB" w14:textId="562861E4" w:rsidR="00D43BBB" w:rsidRPr="00A04969" w:rsidRDefault="00D43BBB" w:rsidP="002420B7">
      <w:pPr>
        <w:widowControl w:val="0"/>
        <w:autoSpaceDE w:val="0"/>
        <w:autoSpaceDN w:val="0"/>
        <w:adjustRightInd w:val="0"/>
        <w:rPr>
          <w:sz w:val="20"/>
          <w:szCs w:val="20"/>
        </w:rPr>
      </w:pPr>
      <w:r w:rsidRPr="00A04969">
        <w:rPr>
          <w:rStyle w:val="FootnoteReference"/>
          <w:sz w:val="20"/>
          <w:szCs w:val="20"/>
        </w:rPr>
        <w:footnoteRef/>
      </w:r>
      <w:r w:rsidRPr="00A04969">
        <w:rPr>
          <w:sz w:val="20"/>
          <w:szCs w:val="20"/>
        </w:rPr>
        <w:t xml:space="preserve"> </w:t>
      </w:r>
      <w:proofErr w:type="gramStart"/>
      <w:r w:rsidRPr="00A04969">
        <w:rPr>
          <w:sz w:val="20"/>
          <w:szCs w:val="20"/>
        </w:rPr>
        <w:t xml:space="preserve">INAC Guidelines, </w:t>
      </w:r>
      <w:r w:rsidRPr="00A04969">
        <w:rPr>
          <w:i/>
          <w:sz w:val="20"/>
          <w:szCs w:val="20"/>
        </w:rPr>
        <w:t>supra</w:t>
      </w:r>
      <w:r w:rsidRPr="00A04969">
        <w:rPr>
          <w:sz w:val="20"/>
          <w:szCs w:val="20"/>
        </w:rPr>
        <w:t xml:space="preserve"> n. </w:t>
      </w:r>
      <w:r w:rsidRPr="00A04969">
        <w:rPr>
          <w:sz w:val="20"/>
          <w:szCs w:val="20"/>
        </w:rPr>
        <w:fldChar w:fldCharType="begin"/>
      </w:r>
      <w:r w:rsidRPr="00A04969">
        <w:rPr>
          <w:sz w:val="20"/>
          <w:szCs w:val="20"/>
        </w:rPr>
        <w:instrText xml:space="preserve"> NOTEREF _Ref334080771 \h </w:instrText>
      </w:r>
      <w:r w:rsidRPr="00A04969">
        <w:rPr>
          <w:sz w:val="20"/>
          <w:szCs w:val="20"/>
        </w:rPr>
      </w:r>
      <w:r w:rsidRPr="00A04969">
        <w:rPr>
          <w:sz w:val="20"/>
          <w:szCs w:val="20"/>
        </w:rPr>
        <w:fldChar w:fldCharType="separate"/>
      </w:r>
      <w:r>
        <w:rPr>
          <w:sz w:val="20"/>
          <w:szCs w:val="20"/>
        </w:rPr>
        <w:t>26</w:t>
      </w:r>
      <w:r w:rsidRPr="00A04969">
        <w:rPr>
          <w:sz w:val="20"/>
          <w:szCs w:val="20"/>
        </w:rPr>
        <w:fldChar w:fldCharType="end"/>
      </w:r>
      <w:r w:rsidRPr="00A04969">
        <w:rPr>
          <w:bCs/>
          <w:sz w:val="20"/>
          <w:szCs w:val="20"/>
        </w:rPr>
        <w:t xml:space="preserve">; </w:t>
      </w:r>
      <w:r w:rsidRPr="00A04969">
        <w:rPr>
          <w:sz w:val="20"/>
          <w:szCs w:val="20"/>
        </w:rPr>
        <w:t xml:space="preserve">EPA Region 10 Tribal Consultation and Coordination Procedures, EPA 910-K-12-002 at 14-15 (Oct. 2012); NOAA 13175 Policy, </w:t>
      </w:r>
      <w:r w:rsidRPr="00A04969">
        <w:rPr>
          <w:i/>
          <w:sz w:val="20"/>
          <w:szCs w:val="20"/>
        </w:rPr>
        <w:t>supra</w:t>
      </w:r>
      <w:r w:rsidRPr="00A04969">
        <w:rPr>
          <w:sz w:val="20"/>
          <w:szCs w:val="20"/>
        </w:rPr>
        <w:t xml:space="preserve"> n. </w:t>
      </w:r>
      <w:r w:rsidRPr="00A04969">
        <w:rPr>
          <w:sz w:val="20"/>
          <w:szCs w:val="20"/>
        </w:rPr>
        <w:fldChar w:fldCharType="begin"/>
      </w:r>
      <w:r w:rsidRPr="00A04969">
        <w:rPr>
          <w:sz w:val="20"/>
          <w:szCs w:val="20"/>
        </w:rPr>
        <w:instrText xml:space="preserve"> NOTEREF _Ref334002328 \h </w:instrText>
      </w:r>
      <w:r w:rsidRPr="00A04969">
        <w:rPr>
          <w:sz w:val="20"/>
          <w:szCs w:val="20"/>
        </w:rPr>
      </w:r>
      <w:r w:rsidRPr="00A04969">
        <w:rPr>
          <w:sz w:val="20"/>
          <w:szCs w:val="20"/>
        </w:rPr>
        <w:fldChar w:fldCharType="separate"/>
      </w:r>
      <w:r>
        <w:rPr>
          <w:sz w:val="20"/>
          <w:szCs w:val="20"/>
        </w:rPr>
        <w:t>139</w:t>
      </w:r>
      <w:r w:rsidRPr="00A04969">
        <w:rPr>
          <w:sz w:val="20"/>
          <w:szCs w:val="20"/>
        </w:rPr>
        <w:fldChar w:fldCharType="end"/>
      </w:r>
      <w:r w:rsidRPr="00A04969">
        <w:rPr>
          <w:sz w:val="20"/>
          <w:szCs w:val="20"/>
        </w:rPr>
        <w:t xml:space="preserve"> at 13.</w:t>
      </w:r>
      <w:proofErr w:type="gramEnd"/>
    </w:p>
  </w:footnote>
  <w:footnote w:id="356">
    <w:p w14:paraId="664C08BC" w14:textId="34B90F58" w:rsidR="00D43BBB" w:rsidRPr="00A04969" w:rsidRDefault="00D43BBB" w:rsidP="002420B7">
      <w:pPr>
        <w:widowControl w:val="0"/>
        <w:autoSpaceDE w:val="0"/>
        <w:autoSpaceDN w:val="0"/>
        <w:adjustRightInd w:val="0"/>
        <w:rPr>
          <w:sz w:val="20"/>
          <w:szCs w:val="20"/>
        </w:rPr>
      </w:pPr>
      <w:r w:rsidRPr="00A04969">
        <w:rPr>
          <w:rStyle w:val="FootnoteReference"/>
          <w:sz w:val="20"/>
          <w:szCs w:val="20"/>
        </w:rPr>
        <w:footnoteRef/>
      </w:r>
      <w:r w:rsidRPr="00A04969">
        <w:rPr>
          <w:sz w:val="20"/>
          <w:szCs w:val="20"/>
        </w:rPr>
        <w:t xml:space="preserve"> </w:t>
      </w:r>
      <w:proofErr w:type="gramStart"/>
      <w:r w:rsidRPr="00A04969">
        <w:rPr>
          <w:sz w:val="20"/>
          <w:szCs w:val="20"/>
        </w:rPr>
        <w:t xml:space="preserve">INAC Guidelines, </w:t>
      </w:r>
      <w:r w:rsidRPr="00A04969">
        <w:rPr>
          <w:i/>
          <w:sz w:val="20"/>
          <w:szCs w:val="20"/>
        </w:rPr>
        <w:t>supra</w:t>
      </w:r>
      <w:r w:rsidRPr="00A04969">
        <w:rPr>
          <w:sz w:val="20"/>
          <w:szCs w:val="20"/>
        </w:rPr>
        <w:t xml:space="preserve"> n. </w:t>
      </w:r>
      <w:r w:rsidRPr="00A04969">
        <w:rPr>
          <w:sz w:val="20"/>
          <w:szCs w:val="20"/>
        </w:rPr>
        <w:fldChar w:fldCharType="begin"/>
      </w:r>
      <w:r w:rsidRPr="00A04969">
        <w:rPr>
          <w:sz w:val="20"/>
          <w:szCs w:val="20"/>
        </w:rPr>
        <w:instrText xml:space="preserve"> NOTEREF _Ref334080771 \h </w:instrText>
      </w:r>
      <w:r w:rsidRPr="00A04969">
        <w:rPr>
          <w:sz w:val="20"/>
          <w:szCs w:val="20"/>
        </w:rPr>
      </w:r>
      <w:r w:rsidRPr="00A04969">
        <w:rPr>
          <w:sz w:val="20"/>
          <w:szCs w:val="20"/>
        </w:rPr>
        <w:fldChar w:fldCharType="separate"/>
      </w:r>
      <w:r>
        <w:rPr>
          <w:sz w:val="20"/>
          <w:szCs w:val="20"/>
        </w:rPr>
        <w:t>26</w:t>
      </w:r>
      <w:r w:rsidRPr="00A04969">
        <w:rPr>
          <w:sz w:val="20"/>
          <w:szCs w:val="20"/>
        </w:rPr>
        <w:fldChar w:fldCharType="end"/>
      </w:r>
      <w:r w:rsidRPr="00A04969">
        <w:rPr>
          <w:bCs/>
          <w:sz w:val="20"/>
          <w:szCs w:val="20"/>
        </w:rPr>
        <w:t xml:space="preserve">; </w:t>
      </w:r>
      <w:r w:rsidRPr="00A04969">
        <w:rPr>
          <w:sz w:val="20"/>
          <w:szCs w:val="20"/>
        </w:rPr>
        <w:t xml:space="preserve">Sec. Order 3206, </w:t>
      </w:r>
      <w:r w:rsidRPr="00A04969">
        <w:rPr>
          <w:i/>
          <w:sz w:val="20"/>
          <w:szCs w:val="20"/>
        </w:rPr>
        <w:t>supra</w:t>
      </w:r>
      <w:r w:rsidRPr="00A04969">
        <w:rPr>
          <w:sz w:val="20"/>
          <w:szCs w:val="20"/>
        </w:rPr>
        <w:t xml:space="preserve"> n. </w:t>
      </w:r>
      <w:r w:rsidRPr="00A04969">
        <w:rPr>
          <w:sz w:val="20"/>
          <w:szCs w:val="20"/>
        </w:rPr>
        <w:fldChar w:fldCharType="begin"/>
      </w:r>
      <w:r w:rsidRPr="00A04969">
        <w:rPr>
          <w:sz w:val="20"/>
          <w:szCs w:val="20"/>
        </w:rPr>
        <w:instrText xml:space="preserve"> NOTEREF _Ref334084751 \h </w:instrText>
      </w:r>
      <w:r w:rsidRPr="00A04969">
        <w:rPr>
          <w:sz w:val="20"/>
          <w:szCs w:val="20"/>
        </w:rPr>
      </w:r>
      <w:r w:rsidRPr="00A04969">
        <w:rPr>
          <w:sz w:val="20"/>
          <w:szCs w:val="20"/>
        </w:rPr>
        <w:fldChar w:fldCharType="separate"/>
      </w:r>
      <w:r>
        <w:rPr>
          <w:sz w:val="20"/>
          <w:szCs w:val="20"/>
        </w:rPr>
        <w:t>116</w:t>
      </w:r>
      <w:r w:rsidRPr="00A04969">
        <w:rPr>
          <w:sz w:val="20"/>
          <w:szCs w:val="20"/>
        </w:rPr>
        <w:fldChar w:fldCharType="end"/>
      </w:r>
      <w:r w:rsidRPr="00A04969">
        <w:rPr>
          <w:sz w:val="20"/>
          <w:szCs w:val="20"/>
        </w:rPr>
        <w:t>; ELI Consultation Handbook,</w:t>
      </w:r>
      <w:r w:rsidRPr="00A04969">
        <w:rPr>
          <w:i/>
          <w:sz w:val="20"/>
          <w:szCs w:val="20"/>
        </w:rPr>
        <w:t xml:space="preserve"> supra</w:t>
      </w:r>
      <w:r w:rsidRPr="00A04969">
        <w:rPr>
          <w:sz w:val="20"/>
          <w:szCs w:val="20"/>
        </w:rPr>
        <w:t xml:space="preserve"> n. </w:t>
      </w:r>
      <w:r w:rsidRPr="00A04969">
        <w:rPr>
          <w:sz w:val="20"/>
          <w:szCs w:val="20"/>
        </w:rPr>
        <w:fldChar w:fldCharType="begin"/>
      </w:r>
      <w:r w:rsidRPr="00A04969">
        <w:rPr>
          <w:sz w:val="20"/>
          <w:szCs w:val="20"/>
        </w:rPr>
        <w:instrText xml:space="preserve"> NOTEREF _Ref334001400 \h </w:instrText>
      </w:r>
      <w:r w:rsidRPr="00A04969">
        <w:rPr>
          <w:sz w:val="20"/>
          <w:szCs w:val="20"/>
        </w:rPr>
      </w:r>
      <w:r w:rsidRPr="00A04969">
        <w:rPr>
          <w:sz w:val="20"/>
          <w:szCs w:val="20"/>
        </w:rPr>
        <w:fldChar w:fldCharType="separate"/>
      </w:r>
      <w:r>
        <w:rPr>
          <w:sz w:val="20"/>
          <w:szCs w:val="20"/>
        </w:rPr>
        <w:t>127</w:t>
      </w:r>
      <w:r w:rsidRPr="00A04969">
        <w:rPr>
          <w:sz w:val="20"/>
          <w:szCs w:val="20"/>
        </w:rPr>
        <w:fldChar w:fldCharType="end"/>
      </w:r>
      <w:r w:rsidRPr="00A04969">
        <w:rPr>
          <w:sz w:val="20"/>
          <w:szCs w:val="20"/>
        </w:rPr>
        <w:t xml:space="preserve"> at 6; </w:t>
      </w:r>
      <w:r w:rsidRPr="00A04969">
        <w:rPr>
          <w:bCs/>
          <w:sz w:val="20"/>
          <w:szCs w:val="20"/>
        </w:rPr>
        <w:t>Exec.</w:t>
      </w:r>
      <w:proofErr w:type="gramEnd"/>
      <w:r w:rsidRPr="00A04969">
        <w:rPr>
          <w:bCs/>
          <w:sz w:val="20"/>
          <w:szCs w:val="20"/>
        </w:rPr>
        <w:t xml:space="preserve"> Order No.</w:t>
      </w:r>
      <w:r w:rsidRPr="00A04969">
        <w:rPr>
          <w:sz w:val="20"/>
          <w:szCs w:val="20"/>
        </w:rPr>
        <w:t xml:space="preserve"> 13175, </w:t>
      </w:r>
      <w:r w:rsidRPr="00A04969">
        <w:rPr>
          <w:bCs/>
          <w:i/>
          <w:sz w:val="20"/>
          <w:szCs w:val="20"/>
        </w:rPr>
        <w:t>supra</w:t>
      </w:r>
      <w:r w:rsidRPr="00A04969">
        <w:rPr>
          <w:bCs/>
          <w:sz w:val="20"/>
          <w:szCs w:val="20"/>
        </w:rPr>
        <w:t xml:space="preserve"> n. </w:t>
      </w:r>
      <w:r w:rsidRPr="00A04969">
        <w:rPr>
          <w:bCs/>
          <w:sz w:val="20"/>
          <w:szCs w:val="20"/>
        </w:rPr>
        <w:fldChar w:fldCharType="begin"/>
      </w:r>
      <w:r w:rsidRPr="00A04969">
        <w:rPr>
          <w:bCs/>
          <w:sz w:val="20"/>
          <w:szCs w:val="20"/>
        </w:rPr>
        <w:instrText xml:space="preserve"> NOTEREF _Ref333993101 \h </w:instrText>
      </w:r>
      <w:r w:rsidRPr="00A04969">
        <w:rPr>
          <w:bCs/>
          <w:sz w:val="20"/>
          <w:szCs w:val="20"/>
        </w:rPr>
      </w:r>
      <w:r w:rsidRPr="00A04969">
        <w:rPr>
          <w:bCs/>
          <w:sz w:val="20"/>
          <w:szCs w:val="20"/>
        </w:rPr>
        <w:fldChar w:fldCharType="separate"/>
      </w:r>
      <w:r>
        <w:rPr>
          <w:bCs/>
          <w:sz w:val="20"/>
          <w:szCs w:val="20"/>
        </w:rPr>
        <w:t>7</w:t>
      </w:r>
      <w:r w:rsidRPr="00A04969">
        <w:rPr>
          <w:bCs/>
          <w:sz w:val="20"/>
          <w:szCs w:val="20"/>
        </w:rPr>
        <w:fldChar w:fldCharType="end"/>
      </w:r>
      <w:r w:rsidRPr="00A04969">
        <w:rPr>
          <w:bCs/>
          <w:sz w:val="20"/>
          <w:szCs w:val="20"/>
        </w:rPr>
        <w:t>.</w:t>
      </w:r>
    </w:p>
  </w:footnote>
  <w:footnote w:id="357">
    <w:p w14:paraId="367BB104" w14:textId="040B0890"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proofErr w:type="gramStart"/>
      <w:r w:rsidRPr="00A04969">
        <w:rPr>
          <w:rFonts w:ascii="Times New Roman" w:hAnsi="Times New Roman" w:cs="Times New Roman"/>
          <w:sz w:val="20"/>
          <w:szCs w:val="20"/>
        </w:rPr>
        <w:t xml:space="preserve">IFC Good Practice Handbook, </w:t>
      </w:r>
      <w:r w:rsidRPr="00A04969">
        <w:rPr>
          <w:rFonts w:ascii="Times New Roman" w:hAnsi="Times New Roman" w:cs="Times New Roman"/>
          <w:i/>
          <w:sz w:val="20"/>
          <w:szCs w:val="20"/>
        </w:rPr>
        <w:t>supra</w:t>
      </w:r>
      <w:r w:rsidRPr="00A04969">
        <w:rPr>
          <w:rFonts w:ascii="Times New Roman" w:hAnsi="Times New Roman" w:cs="Times New Roman"/>
          <w:sz w:val="20"/>
          <w:szCs w:val="20"/>
        </w:rPr>
        <w:t xml:space="preserve"> n. </w:t>
      </w:r>
      <w:r w:rsidRPr="00A04969">
        <w:rPr>
          <w:rFonts w:ascii="Times New Roman" w:hAnsi="Times New Roman" w:cs="Times New Roman"/>
          <w:sz w:val="20"/>
          <w:szCs w:val="20"/>
        </w:rPr>
        <w:fldChar w:fldCharType="begin"/>
      </w:r>
      <w:r w:rsidRPr="00A04969">
        <w:rPr>
          <w:rFonts w:ascii="Times New Roman" w:hAnsi="Times New Roman" w:cs="Times New Roman"/>
          <w:sz w:val="20"/>
          <w:szCs w:val="20"/>
        </w:rPr>
        <w:instrText xml:space="preserve"> NOTEREF _Ref334083573 \h </w:instrText>
      </w:r>
      <w:r w:rsidRPr="00A04969">
        <w:rPr>
          <w:rFonts w:ascii="Times New Roman" w:hAnsi="Times New Roman" w:cs="Times New Roman"/>
          <w:sz w:val="20"/>
          <w:szCs w:val="20"/>
        </w:rPr>
      </w:r>
      <w:r w:rsidRPr="00A04969">
        <w:rPr>
          <w:rFonts w:ascii="Times New Roman" w:hAnsi="Times New Roman" w:cs="Times New Roman"/>
          <w:sz w:val="20"/>
          <w:szCs w:val="20"/>
        </w:rPr>
        <w:fldChar w:fldCharType="separate"/>
      </w:r>
      <w:r>
        <w:rPr>
          <w:rFonts w:ascii="Times New Roman" w:hAnsi="Times New Roman" w:cs="Times New Roman"/>
          <w:sz w:val="20"/>
          <w:szCs w:val="20"/>
        </w:rPr>
        <w:t>53</w:t>
      </w:r>
      <w:r w:rsidRPr="00A04969">
        <w:rPr>
          <w:rFonts w:ascii="Times New Roman" w:hAnsi="Times New Roman" w:cs="Times New Roman"/>
          <w:sz w:val="20"/>
          <w:szCs w:val="20"/>
        </w:rPr>
        <w:fldChar w:fldCharType="end"/>
      </w:r>
      <w:r w:rsidRPr="00A04969">
        <w:rPr>
          <w:rFonts w:ascii="Times New Roman" w:hAnsi="Times New Roman" w:cs="Times New Roman"/>
          <w:sz w:val="20"/>
          <w:szCs w:val="20"/>
        </w:rPr>
        <w:t xml:space="preserve"> at 104.</w:t>
      </w:r>
      <w:proofErr w:type="gramEnd"/>
    </w:p>
  </w:footnote>
  <w:footnote w:id="358">
    <w:p w14:paraId="78C5D6E2" w14:textId="1B24EBCD"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r w:rsidRPr="00A04969">
        <w:rPr>
          <w:rFonts w:ascii="Times New Roman" w:hAnsi="Times New Roman" w:cs="Times New Roman"/>
          <w:i/>
          <w:sz w:val="20"/>
          <w:szCs w:val="20"/>
        </w:rPr>
        <w:t>Id.</w:t>
      </w:r>
      <w:r w:rsidRPr="00A04969">
        <w:rPr>
          <w:rFonts w:ascii="Times New Roman" w:hAnsi="Times New Roman" w:cs="Times New Roman"/>
          <w:sz w:val="20"/>
          <w:szCs w:val="20"/>
        </w:rPr>
        <w:t xml:space="preserve"> at 91-92.</w:t>
      </w:r>
    </w:p>
  </w:footnote>
  <w:footnote w:id="359">
    <w:p w14:paraId="0DF7F2B6" w14:textId="77777777" w:rsidR="00D43BBB" w:rsidRPr="00A04969" w:rsidRDefault="00D43BBB" w:rsidP="002420B7">
      <w:pPr>
        <w:pStyle w:val="NormalWeb"/>
        <w:spacing w:before="0" w:beforeAutospacing="0" w:after="0" w:afterAutospacing="0"/>
        <w:rPr>
          <w:rFonts w:ascii="Times New Roman" w:hAnsi="Times New Roman"/>
        </w:rPr>
      </w:pPr>
      <w:r w:rsidRPr="00A04969">
        <w:rPr>
          <w:rStyle w:val="FootnoteReference"/>
          <w:rFonts w:ascii="Times New Roman" w:hAnsi="Times New Roman"/>
        </w:rPr>
        <w:footnoteRef/>
      </w:r>
      <w:r w:rsidRPr="00A04969">
        <w:rPr>
          <w:rFonts w:ascii="Times New Roman" w:hAnsi="Times New Roman"/>
        </w:rPr>
        <w:t xml:space="preserve"> </w:t>
      </w:r>
      <w:r w:rsidRPr="00A04969">
        <w:rPr>
          <w:rFonts w:ascii="Times New Roman" w:hAnsi="Times New Roman"/>
          <w:i/>
        </w:rPr>
        <w:t>See, e.g.,</w:t>
      </w:r>
      <w:r w:rsidRPr="00A04969">
        <w:rPr>
          <w:rFonts w:ascii="Times New Roman" w:hAnsi="Times New Roman"/>
        </w:rPr>
        <w:t xml:space="preserve"> BOEM mitigation tracking table, </w:t>
      </w:r>
      <w:r w:rsidRPr="00A04969">
        <w:rPr>
          <w:rFonts w:ascii="Times New Roman" w:hAnsi="Times New Roman"/>
          <w:bCs/>
        </w:rPr>
        <w:t xml:space="preserve">Alternatives, Deferrals, Mitigations, and Other Areal Concerns Suggested From Public Involvement Opportunities 2012-2017 OCS Oil and Gas Leasing Program </w:t>
      </w:r>
      <w:r w:rsidRPr="00A04969">
        <w:rPr>
          <w:rFonts w:ascii="Times New Roman" w:hAnsi="Times New Roman"/>
        </w:rPr>
        <w:t xml:space="preserve">(Last Updated July 2014). </w:t>
      </w:r>
    </w:p>
  </w:footnote>
  <w:footnote w:id="360">
    <w:p w14:paraId="4E5EBDC8" w14:textId="77777777"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proofErr w:type="gramStart"/>
      <w:r w:rsidRPr="00A04969">
        <w:rPr>
          <w:rFonts w:ascii="Times New Roman" w:hAnsi="Times New Roman" w:cs="Times New Roman"/>
          <w:sz w:val="20"/>
          <w:szCs w:val="20"/>
        </w:rPr>
        <w:t xml:space="preserve">ICC Declaration on Resource Development, </w:t>
      </w:r>
      <w:r w:rsidRPr="00A04969">
        <w:rPr>
          <w:rFonts w:ascii="Times New Roman" w:hAnsi="Times New Roman" w:cs="Times New Roman"/>
          <w:i/>
          <w:sz w:val="20"/>
          <w:szCs w:val="20"/>
        </w:rPr>
        <w:t>supra</w:t>
      </w:r>
      <w:r w:rsidRPr="00A04969">
        <w:rPr>
          <w:rFonts w:ascii="Times New Roman" w:hAnsi="Times New Roman" w:cs="Times New Roman"/>
          <w:sz w:val="20"/>
          <w:szCs w:val="20"/>
        </w:rPr>
        <w:t xml:space="preserve"> n. </w:t>
      </w:r>
      <w:r w:rsidRPr="00A04969">
        <w:rPr>
          <w:rFonts w:ascii="Times New Roman" w:hAnsi="Times New Roman" w:cs="Times New Roman"/>
          <w:sz w:val="20"/>
          <w:szCs w:val="20"/>
        </w:rPr>
        <w:fldChar w:fldCharType="begin"/>
      </w:r>
      <w:r w:rsidRPr="00A04969">
        <w:rPr>
          <w:rFonts w:ascii="Times New Roman" w:hAnsi="Times New Roman" w:cs="Times New Roman"/>
          <w:sz w:val="20"/>
          <w:szCs w:val="20"/>
        </w:rPr>
        <w:instrText xml:space="preserve"> NOTEREF _Ref333325072 </w:instrText>
      </w:r>
      <w:r w:rsidRPr="00A04969">
        <w:rPr>
          <w:rFonts w:ascii="Times New Roman" w:hAnsi="Times New Roman" w:cs="Times New Roman"/>
          <w:sz w:val="20"/>
          <w:szCs w:val="20"/>
        </w:rPr>
        <w:fldChar w:fldCharType="separate"/>
      </w:r>
      <w:r>
        <w:rPr>
          <w:rFonts w:ascii="Times New Roman" w:hAnsi="Times New Roman" w:cs="Times New Roman"/>
          <w:sz w:val="20"/>
          <w:szCs w:val="20"/>
        </w:rPr>
        <w:t>62</w:t>
      </w:r>
      <w:r w:rsidRPr="00A04969">
        <w:rPr>
          <w:rFonts w:ascii="Times New Roman" w:hAnsi="Times New Roman" w:cs="Times New Roman"/>
          <w:sz w:val="20"/>
          <w:szCs w:val="20"/>
        </w:rPr>
        <w:fldChar w:fldCharType="end"/>
      </w:r>
      <w:r w:rsidRPr="00A04969">
        <w:rPr>
          <w:rFonts w:ascii="Times New Roman" w:hAnsi="Times New Roman" w:cs="Times New Roman"/>
          <w:sz w:val="20"/>
          <w:szCs w:val="20"/>
        </w:rPr>
        <w:t>.</w:t>
      </w:r>
      <w:proofErr w:type="gramEnd"/>
    </w:p>
  </w:footnote>
  <w:footnote w:id="361">
    <w:p w14:paraId="06901A72" w14:textId="0D1E0EEE"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proofErr w:type="gramStart"/>
      <w:r w:rsidRPr="00A04969">
        <w:rPr>
          <w:rFonts w:ascii="Times New Roman" w:hAnsi="Times New Roman" w:cs="Times New Roman"/>
          <w:sz w:val="20"/>
          <w:szCs w:val="20"/>
        </w:rPr>
        <w:t xml:space="preserve">ICC Arctic Policy, </w:t>
      </w:r>
      <w:r w:rsidRPr="00A04969">
        <w:rPr>
          <w:rFonts w:ascii="Times New Roman" w:hAnsi="Times New Roman" w:cs="Times New Roman"/>
          <w:i/>
          <w:sz w:val="20"/>
          <w:szCs w:val="20"/>
        </w:rPr>
        <w:t>supra</w:t>
      </w:r>
      <w:r w:rsidRPr="00A04969">
        <w:rPr>
          <w:rFonts w:ascii="Times New Roman" w:hAnsi="Times New Roman" w:cs="Times New Roman"/>
          <w:sz w:val="20"/>
          <w:szCs w:val="20"/>
        </w:rPr>
        <w:t xml:space="preserve"> n. </w:t>
      </w:r>
      <w:r w:rsidRPr="00A04969">
        <w:rPr>
          <w:rFonts w:ascii="Times New Roman" w:hAnsi="Times New Roman" w:cs="Times New Roman"/>
          <w:sz w:val="20"/>
          <w:szCs w:val="20"/>
        </w:rPr>
        <w:fldChar w:fldCharType="begin"/>
      </w:r>
      <w:r w:rsidRPr="00A04969">
        <w:rPr>
          <w:rFonts w:ascii="Times New Roman" w:hAnsi="Times New Roman" w:cs="Times New Roman"/>
          <w:sz w:val="20"/>
          <w:szCs w:val="20"/>
        </w:rPr>
        <w:instrText xml:space="preserve"> NOTEREF _Ref333385533 </w:instrText>
      </w:r>
      <w:r w:rsidRPr="00A04969">
        <w:rPr>
          <w:rFonts w:ascii="Times New Roman" w:hAnsi="Times New Roman" w:cs="Times New Roman"/>
          <w:sz w:val="20"/>
          <w:szCs w:val="20"/>
        </w:rPr>
        <w:fldChar w:fldCharType="separate"/>
      </w:r>
      <w:r>
        <w:rPr>
          <w:rFonts w:ascii="Times New Roman" w:hAnsi="Times New Roman" w:cs="Times New Roman"/>
          <w:sz w:val="20"/>
          <w:szCs w:val="20"/>
        </w:rPr>
        <w:t>92</w:t>
      </w:r>
      <w:r w:rsidRPr="00A04969">
        <w:rPr>
          <w:rFonts w:ascii="Times New Roman" w:hAnsi="Times New Roman" w:cs="Times New Roman"/>
          <w:sz w:val="20"/>
          <w:szCs w:val="20"/>
        </w:rPr>
        <w:fldChar w:fldCharType="end"/>
      </w:r>
      <w:r w:rsidRPr="00A04969">
        <w:rPr>
          <w:rFonts w:ascii="Times New Roman" w:hAnsi="Times New Roman" w:cs="Times New Roman"/>
          <w:sz w:val="20"/>
          <w:szCs w:val="20"/>
        </w:rPr>
        <w:t>.</w:t>
      </w:r>
      <w:proofErr w:type="gramEnd"/>
    </w:p>
  </w:footnote>
  <w:footnote w:id="362">
    <w:p w14:paraId="679CE937" w14:textId="1069110D"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AMAP Arctic Oil and Gas, </w:t>
      </w:r>
      <w:r w:rsidRPr="00A04969">
        <w:rPr>
          <w:rFonts w:ascii="Times New Roman" w:hAnsi="Times New Roman" w:cs="Times New Roman"/>
          <w:i/>
          <w:sz w:val="20"/>
          <w:szCs w:val="20"/>
        </w:rPr>
        <w:t xml:space="preserve">supra </w:t>
      </w:r>
      <w:r w:rsidRPr="00A04969">
        <w:rPr>
          <w:rFonts w:ascii="Times New Roman" w:hAnsi="Times New Roman" w:cs="Times New Roman"/>
          <w:sz w:val="20"/>
          <w:szCs w:val="20"/>
        </w:rPr>
        <w:t xml:space="preserve">n. </w:t>
      </w:r>
      <w:r w:rsidRPr="00A04969">
        <w:rPr>
          <w:rFonts w:ascii="Times New Roman" w:hAnsi="Times New Roman" w:cs="Times New Roman"/>
          <w:sz w:val="20"/>
          <w:szCs w:val="20"/>
        </w:rPr>
        <w:fldChar w:fldCharType="begin"/>
      </w:r>
      <w:r w:rsidRPr="00A04969">
        <w:rPr>
          <w:rFonts w:ascii="Times New Roman" w:hAnsi="Times New Roman" w:cs="Times New Roman"/>
          <w:sz w:val="20"/>
          <w:szCs w:val="20"/>
        </w:rPr>
        <w:instrText xml:space="preserve"> NOTEREF _Ref333994849 \h </w:instrText>
      </w:r>
      <w:r w:rsidRPr="00A04969">
        <w:rPr>
          <w:rFonts w:ascii="Times New Roman" w:hAnsi="Times New Roman" w:cs="Times New Roman"/>
          <w:sz w:val="20"/>
          <w:szCs w:val="20"/>
        </w:rPr>
      </w:r>
      <w:r w:rsidRPr="00A04969">
        <w:rPr>
          <w:rFonts w:ascii="Times New Roman" w:hAnsi="Times New Roman" w:cs="Times New Roman"/>
          <w:sz w:val="20"/>
          <w:szCs w:val="20"/>
        </w:rPr>
        <w:fldChar w:fldCharType="separate"/>
      </w:r>
      <w:r>
        <w:rPr>
          <w:rFonts w:ascii="Times New Roman" w:hAnsi="Times New Roman" w:cs="Times New Roman"/>
          <w:sz w:val="20"/>
          <w:szCs w:val="20"/>
        </w:rPr>
        <w:t>78</w:t>
      </w:r>
      <w:r w:rsidRPr="00A04969">
        <w:rPr>
          <w:rFonts w:ascii="Times New Roman" w:hAnsi="Times New Roman" w:cs="Times New Roman"/>
          <w:sz w:val="20"/>
          <w:szCs w:val="20"/>
        </w:rPr>
        <w:fldChar w:fldCharType="end"/>
      </w:r>
      <w:r w:rsidRPr="00A04969">
        <w:rPr>
          <w:rFonts w:ascii="Times New Roman" w:hAnsi="Times New Roman" w:cs="Times New Roman"/>
          <w:sz w:val="20"/>
          <w:szCs w:val="20"/>
        </w:rPr>
        <w:t xml:space="preserve"> at vi; AOR </w:t>
      </w:r>
      <w:r w:rsidRPr="00A04969">
        <w:rPr>
          <w:rFonts w:ascii="Times New Roman" w:hAnsi="Times New Roman" w:cs="Times New Roman"/>
          <w:i/>
          <w:sz w:val="20"/>
          <w:szCs w:val="20"/>
        </w:rPr>
        <w:t>supra</w:t>
      </w:r>
      <w:r w:rsidRPr="00A04969">
        <w:rPr>
          <w:rFonts w:ascii="Times New Roman" w:hAnsi="Times New Roman" w:cs="Times New Roman"/>
          <w:sz w:val="20"/>
          <w:szCs w:val="20"/>
        </w:rPr>
        <w:t xml:space="preserve"> n. </w:t>
      </w:r>
      <w:r w:rsidRPr="00A04969">
        <w:rPr>
          <w:rFonts w:ascii="Times New Roman" w:hAnsi="Times New Roman" w:cs="Times New Roman"/>
          <w:sz w:val="20"/>
          <w:szCs w:val="20"/>
        </w:rPr>
        <w:fldChar w:fldCharType="begin"/>
      </w:r>
      <w:r w:rsidRPr="00A04969">
        <w:rPr>
          <w:rFonts w:ascii="Times New Roman" w:hAnsi="Times New Roman" w:cs="Times New Roman"/>
          <w:sz w:val="20"/>
          <w:szCs w:val="20"/>
        </w:rPr>
        <w:instrText xml:space="preserve"> NOTEREF _Ref334006431 \h </w:instrText>
      </w:r>
      <w:r w:rsidRPr="00A04969">
        <w:rPr>
          <w:rFonts w:ascii="Times New Roman" w:hAnsi="Times New Roman" w:cs="Times New Roman"/>
          <w:sz w:val="20"/>
          <w:szCs w:val="20"/>
        </w:rPr>
      </w:r>
      <w:r w:rsidRPr="00A04969">
        <w:rPr>
          <w:rFonts w:ascii="Times New Roman" w:hAnsi="Times New Roman" w:cs="Times New Roman"/>
          <w:sz w:val="20"/>
          <w:szCs w:val="20"/>
        </w:rPr>
        <w:fldChar w:fldCharType="separate"/>
      </w:r>
      <w:r>
        <w:rPr>
          <w:rFonts w:ascii="Times New Roman" w:hAnsi="Times New Roman" w:cs="Times New Roman"/>
          <w:sz w:val="20"/>
          <w:szCs w:val="20"/>
        </w:rPr>
        <w:t>190</w:t>
      </w:r>
      <w:r w:rsidRPr="00A04969">
        <w:rPr>
          <w:rFonts w:ascii="Times New Roman" w:hAnsi="Times New Roman" w:cs="Times New Roman"/>
          <w:sz w:val="20"/>
          <w:szCs w:val="20"/>
        </w:rPr>
        <w:fldChar w:fldCharType="end"/>
      </w:r>
      <w:r w:rsidRPr="00A04969">
        <w:rPr>
          <w:rFonts w:ascii="Times New Roman" w:hAnsi="Times New Roman" w:cs="Times New Roman"/>
          <w:sz w:val="20"/>
          <w:szCs w:val="20"/>
        </w:rPr>
        <w:t xml:space="preserve">  at 17; AACA(a), </w:t>
      </w:r>
      <w:r w:rsidRPr="00A04969">
        <w:rPr>
          <w:rFonts w:ascii="Times New Roman" w:hAnsi="Times New Roman" w:cs="Times New Roman"/>
          <w:i/>
          <w:sz w:val="20"/>
          <w:szCs w:val="20"/>
        </w:rPr>
        <w:t xml:space="preserve">supra </w:t>
      </w:r>
      <w:r w:rsidRPr="00A04969">
        <w:rPr>
          <w:rFonts w:ascii="Times New Roman" w:hAnsi="Times New Roman" w:cs="Times New Roman"/>
          <w:sz w:val="20"/>
          <w:szCs w:val="20"/>
        </w:rPr>
        <w:t xml:space="preserve">n. </w:t>
      </w:r>
      <w:r w:rsidRPr="00A04969">
        <w:rPr>
          <w:rFonts w:ascii="Times New Roman" w:hAnsi="Times New Roman" w:cs="Times New Roman"/>
          <w:sz w:val="20"/>
          <w:szCs w:val="20"/>
        </w:rPr>
        <w:fldChar w:fldCharType="begin"/>
      </w:r>
      <w:r w:rsidRPr="00A04969">
        <w:rPr>
          <w:rFonts w:ascii="Times New Roman" w:hAnsi="Times New Roman" w:cs="Times New Roman"/>
          <w:sz w:val="20"/>
          <w:szCs w:val="20"/>
        </w:rPr>
        <w:instrText xml:space="preserve"> NOTEREF _Ref333606215 \h </w:instrText>
      </w:r>
      <w:r w:rsidRPr="00A04969">
        <w:rPr>
          <w:rFonts w:ascii="Times New Roman" w:hAnsi="Times New Roman" w:cs="Times New Roman"/>
          <w:sz w:val="20"/>
          <w:szCs w:val="20"/>
        </w:rPr>
      </w:r>
      <w:r w:rsidRPr="00A04969">
        <w:rPr>
          <w:rFonts w:ascii="Times New Roman" w:hAnsi="Times New Roman" w:cs="Times New Roman"/>
          <w:sz w:val="20"/>
          <w:szCs w:val="20"/>
        </w:rPr>
        <w:fldChar w:fldCharType="separate"/>
      </w:r>
      <w:r>
        <w:rPr>
          <w:rFonts w:ascii="Times New Roman" w:hAnsi="Times New Roman" w:cs="Times New Roman"/>
          <w:sz w:val="20"/>
          <w:szCs w:val="20"/>
        </w:rPr>
        <w:t>161</w:t>
      </w:r>
      <w:r w:rsidRPr="00A04969">
        <w:rPr>
          <w:rFonts w:ascii="Times New Roman" w:hAnsi="Times New Roman" w:cs="Times New Roman"/>
          <w:sz w:val="20"/>
          <w:szCs w:val="20"/>
        </w:rPr>
        <w:fldChar w:fldCharType="end"/>
      </w:r>
      <w:r w:rsidRPr="00A04969">
        <w:rPr>
          <w:rFonts w:ascii="Times New Roman" w:hAnsi="Times New Roman" w:cs="Times New Roman"/>
          <w:sz w:val="20"/>
          <w:szCs w:val="20"/>
        </w:rPr>
        <w:t xml:space="preserve"> at 7; </w:t>
      </w:r>
      <w:r w:rsidRPr="00A04969">
        <w:rPr>
          <w:rFonts w:ascii="Times New Roman" w:hAnsi="Times New Roman" w:cs="Times New Roman"/>
          <w:sz w:val="20"/>
          <w:szCs w:val="20"/>
          <w:lang w:val="en-CA"/>
        </w:rPr>
        <w:t xml:space="preserve">Arctic Council Emergency, Prevention, Preparedness and Response Working Group, </w:t>
      </w:r>
      <w:r w:rsidRPr="00A04969">
        <w:rPr>
          <w:rFonts w:ascii="Times New Roman" w:hAnsi="Times New Roman" w:cs="Times New Roman"/>
          <w:color w:val="000000"/>
          <w:sz w:val="20"/>
          <w:szCs w:val="20"/>
        </w:rPr>
        <w:t>Recommended Practices for Arctic Oil Spill Prevention at 36 (2013) [hereinafter EPPR Recommended Prevention Practices]</w:t>
      </w:r>
      <w:r w:rsidRPr="00A04969">
        <w:rPr>
          <w:rFonts w:ascii="Times New Roman" w:hAnsi="Times New Roman" w:cs="Times New Roman"/>
          <w:sz w:val="20"/>
          <w:szCs w:val="20"/>
        </w:rPr>
        <w:t>.</w:t>
      </w:r>
    </w:p>
  </w:footnote>
  <w:footnote w:id="363">
    <w:p w14:paraId="7C26DE7F" w14:textId="10B3B92E"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proofErr w:type="gramStart"/>
      <w:r w:rsidRPr="00A04969">
        <w:rPr>
          <w:rFonts w:ascii="Times New Roman" w:hAnsi="Times New Roman" w:cs="Times New Roman"/>
          <w:sz w:val="20"/>
          <w:szCs w:val="20"/>
        </w:rPr>
        <w:t xml:space="preserve">INAC Guidelines, </w:t>
      </w:r>
      <w:r w:rsidRPr="00A04969">
        <w:rPr>
          <w:rFonts w:ascii="Times New Roman" w:hAnsi="Times New Roman" w:cs="Times New Roman"/>
          <w:i/>
          <w:sz w:val="20"/>
          <w:szCs w:val="20"/>
        </w:rPr>
        <w:t>supra</w:t>
      </w:r>
      <w:r w:rsidRPr="00A04969">
        <w:rPr>
          <w:rFonts w:ascii="Times New Roman" w:hAnsi="Times New Roman" w:cs="Times New Roman"/>
          <w:sz w:val="20"/>
          <w:szCs w:val="20"/>
        </w:rPr>
        <w:t xml:space="preserve"> n. </w:t>
      </w:r>
      <w:r w:rsidRPr="00A04969">
        <w:rPr>
          <w:rFonts w:ascii="Times New Roman" w:hAnsi="Times New Roman" w:cs="Times New Roman"/>
          <w:sz w:val="20"/>
          <w:szCs w:val="20"/>
        </w:rPr>
        <w:fldChar w:fldCharType="begin"/>
      </w:r>
      <w:r w:rsidRPr="00A04969">
        <w:rPr>
          <w:rFonts w:ascii="Times New Roman" w:hAnsi="Times New Roman" w:cs="Times New Roman"/>
          <w:sz w:val="20"/>
          <w:szCs w:val="20"/>
        </w:rPr>
        <w:instrText xml:space="preserve"> NOTEREF _Ref334080771 \h </w:instrText>
      </w:r>
      <w:r w:rsidRPr="00A04969">
        <w:rPr>
          <w:rFonts w:ascii="Times New Roman" w:hAnsi="Times New Roman" w:cs="Times New Roman"/>
          <w:sz w:val="20"/>
          <w:szCs w:val="20"/>
        </w:rPr>
      </w:r>
      <w:r w:rsidRPr="00A04969">
        <w:rPr>
          <w:rFonts w:ascii="Times New Roman" w:hAnsi="Times New Roman" w:cs="Times New Roman"/>
          <w:sz w:val="20"/>
          <w:szCs w:val="20"/>
        </w:rPr>
        <w:fldChar w:fldCharType="separate"/>
      </w:r>
      <w:r>
        <w:rPr>
          <w:rFonts w:ascii="Times New Roman" w:hAnsi="Times New Roman" w:cs="Times New Roman"/>
          <w:sz w:val="20"/>
          <w:szCs w:val="20"/>
        </w:rPr>
        <w:t>26</w:t>
      </w:r>
      <w:r w:rsidRPr="00A04969">
        <w:rPr>
          <w:rFonts w:ascii="Times New Roman" w:hAnsi="Times New Roman" w:cs="Times New Roman"/>
          <w:sz w:val="20"/>
          <w:szCs w:val="20"/>
        </w:rPr>
        <w:fldChar w:fldCharType="end"/>
      </w:r>
      <w:r w:rsidRPr="00A04969">
        <w:rPr>
          <w:rFonts w:ascii="Times New Roman" w:hAnsi="Times New Roman" w:cs="Times New Roman"/>
          <w:sz w:val="20"/>
          <w:szCs w:val="20"/>
        </w:rPr>
        <w:t>.</w:t>
      </w:r>
      <w:proofErr w:type="gramEnd"/>
    </w:p>
  </w:footnote>
  <w:footnote w:id="364">
    <w:p w14:paraId="6B2081E2" w14:textId="7047037B"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AMAP Arctic Oil and Gas, </w:t>
      </w:r>
      <w:r w:rsidRPr="00A04969">
        <w:rPr>
          <w:rFonts w:ascii="Times New Roman" w:hAnsi="Times New Roman" w:cs="Times New Roman"/>
          <w:i/>
          <w:sz w:val="20"/>
          <w:szCs w:val="20"/>
        </w:rPr>
        <w:t>supra</w:t>
      </w:r>
      <w:r w:rsidRPr="00A04969">
        <w:rPr>
          <w:rFonts w:ascii="Times New Roman" w:hAnsi="Times New Roman" w:cs="Times New Roman"/>
          <w:sz w:val="20"/>
          <w:szCs w:val="20"/>
        </w:rPr>
        <w:t xml:space="preserve"> n. </w:t>
      </w:r>
      <w:r w:rsidRPr="00A04969">
        <w:rPr>
          <w:rFonts w:ascii="Times New Roman" w:hAnsi="Times New Roman" w:cs="Times New Roman"/>
          <w:sz w:val="20"/>
          <w:szCs w:val="20"/>
        </w:rPr>
        <w:fldChar w:fldCharType="begin"/>
      </w:r>
      <w:r w:rsidRPr="00A04969">
        <w:rPr>
          <w:rFonts w:ascii="Times New Roman" w:hAnsi="Times New Roman" w:cs="Times New Roman"/>
          <w:sz w:val="20"/>
          <w:szCs w:val="20"/>
        </w:rPr>
        <w:instrText xml:space="preserve"> NOTEREF _Ref333994849 \h </w:instrText>
      </w:r>
      <w:r w:rsidRPr="00A04969">
        <w:rPr>
          <w:rFonts w:ascii="Times New Roman" w:hAnsi="Times New Roman" w:cs="Times New Roman"/>
          <w:sz w:val="20"/>
          <w:szCs w:val="20"/>
        </w:rPr>
      </w:r>
      <w:r w:rsidRPr="00A04969">
        <w:rPr>
          <w:rFonts w:ascii="Times New Roman" w:hAnsi="Times New Roman" w:cs="Times New Roman"/>
          <w:sz w:val="20"/>
          <w:szCs w:val="20"/>
        </w:rPr>
        <w:fldChar w:fldCharType="separate"/>
      </w:r>
      <w:r>
        <w:rPr>
          <w:rFonts w:ascii="Times New Roman" w:hAnsi="Times New Roman" w:cs="Times New Roman"/>
          <w:sz w:val="20"/>
          <w:szCs w:val="20"/>
        </w:rPr>
        <w:t>78</w:t>
      </w:r>
      <w:r w:rsidRPr="00A04969">
        <w:rPr>
          <w:rFonts w:ascii="Times New Roman" w:hAnsi="Times New Roman" w:cs="Times New Roman"/>
          <w:sz w:val="20"/>
          <w:szCs w:val="20"/>
        </w:rPr>
        <w:fldChar w:fldCharType="end"/>
      </w:r>
      <w:r w:rsidRPr="00A04969">
        <w:rPr>
          <w:rFonts w:ascii="Times New Roman" w:hAnsi="Times New Roman" w:cs="Times New Roman"/>
          <w:sz w:val="20"/>
          <w:szCs w:val="20"/>
        </w:rPr>
        <w:t xml:space="preserve"> at </w:t>
      </w:r>
      <w:proofErr w:type="gramStart"/>
      <w:r w:rsidRPr="00A04969">
        <w:rPr>
          <w:rFonts w:ascii="Times New Roman" w:hAnsi="Times New Roman" w:cs="Times New Roman"/>
          <w:sz w:val="20"/>
          <w:szCs w:val="20"/>
        </w:rPr>
        <w:t>vi</w:t>
      </w:r>
      <w:proofErr w:type="gramEnd"/>
      <w:r w:rsidRPr="00A04969">
        <w:rPr>
          <w:rFonts w:ascii="Times New Roman" w:hAnsi="Times New Roman" w:cs="Times New Roman"/>
          <w:sz w:val="20"/>
          <w:szCs w:val="20"/>
        </w:rPr>
        <w:t>.</w:t>
      </w:r>
    </w:p>
  </w:footnote>
  <w:footnote w:id="365">
    <w:p w14:paraId="5923B861" w14:textId="141320C4"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proofErr w:type="gramStart"/>
      <w:r w:rsidRPr="00A04969">
        <w:rPr>
          <w:rFonts w:ascii="Times New Roman" w:hAnsi="Times New Roman" w:cs="Times New Roman"/>
          <w:sz w:val="20"/>
          <w:szCs w:val="20"/>
        </w:rPr>
        <w:t xml:space="preserve">AOR </w:t>
      </w:r>
      <w:r w:rsidRPr="00A04969">
        <w:rPr>
          <w:rFonts w:ascii="Times New Roman" w:hAnsi="Times New Roman" w:cs="Times New Roman"/>
          <w:i/>
          <w:sz w:val="20"/>
          <w:szCs w:val="20"/>
        </w:rPr>
        <w:t>supra</w:t>
      </w:r>
      <w:r w:rsidRPr="00A04969">
        <w:rPr>
          <w:rFonts w:ascii="Times New Roman" w:hAnsi="Times New Roman" w:cs="Times New Roman"/>
          <w:sz w:val="20"/>
          <w:szCs w:val="20"/>
        </w:rPr>
        <w:t xml:space="preserve"> n. </w:t>
      </w:r>
      <w:r w:rsidRPr="00A04969">
        <w:rPr>
          <w:rFonts w:ascii="Times New Roman" w:hAnsi="Times New Roman" w:cs="Times New Roman"/>
          <w:sz w:val="20"/>
          <w:szCs w:val="20"/>
        </w:rPr>
        <w:fldChar w:fldCharType="begin"/>
      </w:r>
      <w:r w:rsidRPr="00A04969">
        <w:rPr>
          <w:rFonts w:ascii="Times New Roman" w:hAnsi="Times New Roman" w:cs="Times New Roman"/>
          <w:sz w:val="20"/>
          <w:szCs w:val="20"/>
        </w:rPr>
        <w:instrText xml:space="preserve"> NOTEREF _Ref334006431 \h </w:instrText>
      </w:r>
      <w:r w:rsidRPr="00A04969">
        <w:rPr>
          <w:rFonts w:ascii="Times New Roman" w:hAnsi="Times New Roman" w:cs="Times New Roman"/>
          <w:sz w:val="20"/>
          <w:szCs w:val="20"/>
        </w:rPr>
      </w:r>
      <w:r w:rsidRPr="00A04969">
        <w:rPr>
          <w:rFonts w:ascii="Times New Roman" w:hAnsi="Times New Roman" w:cs="Times New Roman"/>
          <w:sz w:val="20"/>
          <w:szCs w:val="20"/>
        </w:rPr>
        <w:fldChar w:fldCharType="separate"/>
      </w:r>
      <w:r>
        <w:rPr>
          <w:rFonts w:ascii="Times New Roman" w:hAnsi="Times New Roman" w:cs="Times New Roman"/>
          <w:sz w:val="20"/>
          <w:szCs w:val="20"/>
        </w:rPr>
        <w:t>190</w:t>
      </w:r>
      <w:r w:rsidRPr="00A04969">
        <w:rPr>
          <w:rFonts w:ascii="Times New Roman" w:hAnsi="Times New Roman" w:cs="Times New Roman"/>
          <w:sz w:val="20"/>
          <w:szCs w:val="20"/>
        </w:rPr>
        <w:fldChar w:fldCharType="end"/>
      </w:r>
      <w:r w:rsidRPr="00A04969">
        <w:rPr>
          <w:rFonts w:ascii="Times New Roman" w:hAnsi="Times New Roman" w:cs="Times New Roman"/>
          <w:sz w:val="20"/>
          <w:szCs w:val="20"/>
        </w:rPr>
        <w:t xml:space="preserve"> at 17.</w:t>
      </w:r>
      <w:proofErr w:type="gramEnd"/>
    </w:p>
  </w:footnote>
  <w:footnote w:id="366">
    <w:p w14:paraId="7A3298AE" w14:textId="08042704" w:rsidR="00D43BBB" w:rsidRPr="00A04969" w:rsidRDefault="00D43BBB" w:rsidP="002420B7">
      <w:pPr>
        <w:widowControl w:val="0"/>
        <w:autoSpaceDE w:val="0"/>
        <w:autoSpaceDN w:val="0"/>
        <w:adjustRightInd w:val="0"/>
        <w:rPr>
          <w:sz w:val="20"/>
          <w:szCs w:val="20"/>
        </w:rPr>
      </w:pPr>
      <w:r w:rsidRPr="00A04969">
        <w:rPr>
          <w:rStyle w:val="FootnoteReference"/>
          <w:sz w:val="20"/>
          <w:szCs w:val="20"/>
        </w:rPr>
        <w:footnoteRef/>
      </w:r>
      <w:r w:rsidRPr="00A04969">
        <w:rPr>
          <w:sz w:val="20"/>
          <w:szCs w:val="20"/>
        </w:rPr>
        <w:t xml:space="preserve"> </w:t>
      </w:r>
      <w:proofErr w:type="gramStart"/>
      <w:r w:rsidRPr="00A04969">
        <w:rPr>
          <w:sz w:val="20"/>
          <w:szCs w:val="20"/>
        </w:rPr>
        <w:t>ILO No. 169 art.</w:t>
      </w:r>
      <w:proofErr w:type="gramEnd"/>
      <w:r w:rsidRPr="00A04969">
        <w:rPr>
          <w:sz w:val="20"/>
          <w:szCs w:val="20"/>
        </w:rPr>
        <w:t xml:space="preserve"> </w:t>
      </w:r>
      <w:proofErr w:type="gramStart"/>
      <w:r w:rsidRPr="00A04969">
        <w:rPr>
          <w:sz w:val="20"/>
          <w:szCs w:val="20"/>
        </w:rPr>
        <w:t>15(2).</w:t>
      </w:r>
      <w:proofErr w:type="gramEnd"/>
    </w:p>
  </w:footnote>
  <w:footnote w:id="367">
    <w:p w14:paraId="51E3202F" w14:textId="2B130C5A"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CBD art. </w:t>
      </w:r>
      <w:proofErr w:type="gramStart"/>
      <w:r w:rsidRPr="00A04969">
        <w:rPr>
          <w:rFonts w:ascii="Times New Roman" w:hAnsi="Times New Roman" w:cs="Times New Roman"/>
          <w:sz w:val="20"/>
          <w:szCs w:val="20"/>
        </w:rPr>
        <w:t>8(j).</w:t>
      </w:r>
      <w:proofErr w:type="gramEnd"/>
    </w:p>
  </w:footnote>
  <w:footnote w:id="368">
    <w:p w14:paraId="00306408" w14:textId="3BF976C2"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CBD, </w:t>
      </w:r>
      <w:r w:rsidRPr="00A04969">
        <w:rPr>
          <w:rFonts w:ascii="Times New Roman" w:hAnsi="Times New Roman" w:cs="Times New Roman"/>
          <w:bCs/>
          <w:color w:val="262626"/>
          <w:sz w:val="20"/>
          <w:szCs w:val="20"/>
        </w:rPr>
        <w:t xml:space="preserve">Bonn Guidelines on Access to Genetic Resources and Fair and Equitable Sharing of the Benefits Arising out of their Utilization, </w:t>
      </w:r>
      <w:r w:rsidRPr="00A04969">
        <w:rPr>
          <w:rFonts w:ascii="Times New Roman" w:hAnsi="Times New Roman" w:cs="Times New Roman"/>
          <w:sz w:val="20"/>
          <w:szCs w:val="20"/>
        </w:rPr>
        <w:t>¶ 48 (COP Decision VI/24).</w:t>
      </w:r>
    </w:p>
  </w:footnote>
  <w:footnote w:id="369">
    <w:p w14:paraId="40DC86BD" w14:textId="6949D369" w:rsidR="00D43BBB" w:rsidRPr="00A04969" w:rsidRDefault="00D43BBB" w:rsidP="002420B7">
      <w:pPr>
        <w:widowControl w:val="0"/>
        <w:autoSpaceDE w:val="0"/>
        <w:autoSpaceDN w:val="0"/>
        <w:adjustRightInd w:val="0"/>
        <w:rPr>
          <w:sz w:val="20"/>
          <w:szCs w:val="20"/>
          <w:lang w:val="en-US"/>
        </w:rPr>
      </w:pPr>
      <w:r w:rsidRPr="00A04969">
        <w:rPr>
          <w:rStyle w:val="FootnoteReference"/>
          <w:sz w:val="20"/>
          <w:szCs w:val="20"/>
        </w:rPr>
        <w:footnoteRef/>
      </w:r>
      <w:r w:rsidRPr="00A04969">
        <w:rPr>
          <w:sz w:val="20"/>
          <w:szCs w:val="20"/>
        </w:rPr>
        <w:t xml:space="preserve"> </w:t>
      </w:r>
      <w:r w:rsidRPr="00A04969">
        <w:rPr>
          <w:i/>
          <w:sz w:val="20"/>
          <w:szCs w:val="20"/>
        </w:rPr>
        <w:t>See, e.g.,</w:t>
      </w:r>
      <w:r w:rsidRPr="00A04969">
        <w:rPr>
          <w:sz w:val="20"/>
          <w:szCs w:val="20"/>
        </w:rPr>
        <w:t xml:space="preserve"> </w:t>
      </w:r>
      <w:r w:rsidRPr="00A04969">
        <w:rPr>
          <w:color w:val="000000"/>
          <w:sz w:val="20"/>
          <w:szCs w:val="20"/>
        </w:rPr>
        <w:t xml:space="preserve">Nunavut </w:t>
      </w:r>
      <w:proofErr w:type="spellStart"/>
      <w:r w:rsidRPr="00A04969">
        <w:rPr>
          <w:color w:val="000000"/>
          <w:sz w:val="20"/>
          <w:szCs w:val="20"/>
        </w:rPr>
        <w:t>Sealink</w:t>
      </w:r>
      <w:proofErr w:type="spellEnd"/>
      <w:r w:rsidRPr="00A04969">
        <w:rPr>
          <w:color w:val="000000"/>
          <w:sz w:val="20"/>
          <w:szCs w:val="20"/>
        </w:rPr>
        <w:t xml:space="preserve"> and Supply Inc. (March 2013) (noting that its shareholders are co-operatives and Indigenous corporations which </w:t>
      </w:r>
      <w:r w:rsidRPr="00A04969">
        <w:rPr>
          <w:sz w:val="20"/>
          <w:szCs w:val="20"/>
          <w:lang w:val="en-US"/>
        </w:rPr>
        <w:t xml:space="preserve">represent the interests of Inuit members, provide direct employment and financial opportunities for Inuit, and purchase Inuit arts and crafts, furs and local foods.)  </w:t>
      </w:r>
    </w:p>
  </w:footnote>
  <w:footnote w:id="370">
    <w:p w14:paraId="32B99EC5" w14:textId="7DC24E5F"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r w:rsidRPr="00A04969">
        <w:rPr>
          <w:rFonts w:ascii="Times New Roman" w:hAnsi="Times New Roman" w:cs="Times New Roman"/>
          <w:i/>
          <w:sz w:val="20"/>
          <w:szCs w:val="20"/>
        </w:rPr>
        <w:t>See, e.g.,</w:t>
      </w:r>
      <w:r w:rsidRPr="00A04969">
        <w:rPr>
          <w:rFonts w:ascii="Times New Roman" w:hAnsi="Times New Roman" w:cs="Times New Roman"/>
          <w:sz w:val="20"/>
          <w:szCs w:val="20"/>
        </w:rPr>
        <w:t xml:space="preserve"> Alaska Native Knowledge Network, </w:t>
      </w:r>
      <w:r w:rsidRPr="00A04969">
        <w:rPr>
          <w:rFonts w:ascii="Times New Roman" w:hAnsi="Times New Roman" w:cs="Times New Roman"/>
          <w:bCs/>
          <w:kern w:val="36"/>
          <w:sz w:val="20"/>
          <w:szCs w:val="20"/>
        </w:rPr>
        <w:t xml:space="preserve">Tribal Tourism Development: Supporting Community Involvement: </w:t>
      </w:r>
      <w:r w:rsidRPr="00A04969">
        <w:rPr>
          <w:rFonts w:ascii="Times New Roman" w:hAnsi="Times New Roman" w:cs="Times New Roman"/>
          <w:sz w:val="20"/>
          <w:szCs w:val="20"/>
        </w:rPr>
        <w:fldChar w:fldCharType="begin"/>
      </w:r>
      <w:r w:rsidRPr="00A04969">
        <w:rPr>
          <w:rFonts w:ascii="Times New Roman" w:hAnsi="Times New Roman" w:cs="Times New Roman"/>
          <w:sz w:val="20"/>
          <w:szCs w:val="20"/>
        </w:rPr>
        <w:instrText>PRIVATE "TYPE=PICT;ALT=Athabascan Raven"</w:instrText>
      </w:r>
      <w:r w:rsidRPr="00A04969">
        <w:rPr>
          <w:rFonts w:ascii="Times New Roman" w:hAnsi="Times New Roman" w:cs="Times New Roman"/>
          <w:sz w:val="20"/>
          <w:szCs w:val="20"/>
        </w:rPr>
        <w:fldChar w:fldCharType="end"/>
      </w:r>
      <w:r w:rsidRPr="00A04969">
        <w:rPr>
          <w:rFonts w:ascii="Times New Roman" w:hAnsi="Times New Roman" w:cs="Times New Roman"/>
          <w:sz w:val="20"/>
          <w:szCs w:val="20"/>
        </w:rPr>
        <w:t>Supporting Community Involvement.</w:t>
      </w:r>
    </w:p>
  </w:footnote>
  <w:footnote w:id="371">
    <w:p w14:paraId="258E0063" w14:textId="77777777"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r w:rsidRPr="00A04969">
        <w:rPr>
          <w:rFonts w:ascii="Times New Roman" w:hAnsi="Times New Roman" w:cs="Times New Roman"/>
          <w:i/>
          <w:sz w:val="20"/>
          <w:szCs w:val="20"/>
        </w:rPr>
        <w:t>See, e.g.,</w:t>
      </w:r>
      <w:r w:rsidRPr="00A04969">
        <w:rPr>
          <w:rFonts w:ascii="Times New Roman" w:hAnsi="Times New Roman" w:cs="Times New Roman"/>
          <w:sz w:val="20"/>
          <w:szCs w:val="20"/>
        </w:rPr>
        <w:t xml:space="preserve"> U.S. Small Business Act, 15. </w:t>
      </w:r>
      <w:proofErr w:type="gramStart"/>
      <w:r w:rsidRPr="00A04969">
        <w:rPr>
          <w:rFonts w:ascii="Times New Roman" w:hAnsi="Times New Roman" w:cs="Times New Roman"/>
          <w:sz w:val="20"/>
          <w:szCs w:val="20"/>
        </w:rPr>
        <w:t>U.S.C. § 637 and 13 C.F.R. § 124.506(b) (providing exemptions for Alaska Native Corporations from contracting requirements with the U.S. government).</w:t>
      </w:r>
      <w:proofErr w:type="gramEnd"/>
    </w:p>
  </w:footnote>
  <w:footnote w:id="372">
    <w:p w14:paraId="52FAD1E7" w14:textId="77777777"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r w:rsidRPr="00A04969">
        <w:rPr>
          <w:rFonts w:ascii="Times New Roman" w:hAnsi="Times New Roman" w:cs="Times New Roman"/>
          <w:color w:val="1A1A1A"/>
          <w:sz w:val="20"/>
          <w:szCs w:val="20"/>
        </w:rPr>
        <w:t>Nunavut Land Claims Agreement</w:t>
      </w:r>
      <w:r w:rsidRPr="00A04969">
        <w:rPr>
          <w:rFonts w:ascii="Times New Roman" w:hAnsi="Times New Roman" w:cs="Times New Roman"/>
          <w:sz w:val="20"/>
          <w:szCs w:val="20"/>
        </w:rPr>
        <w:t>, § 24.2.1.</w:t>
      </w:r>
    </w:p>
  </w:footnote>
  <w:footnote w:id="373">
    <w:p w14:paraId="02EAE807" w14:textId="1E90E260"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proofErr w:type="spellStart"/>
      <w:r w:rsidRPr="00A04969">
        <w:rPr>
          <w:rFonts w:ascii="Times New Roman" w:hAnsi="Times New Roman" w:cs="Times New Roman"/>
          <w:bCs/>
          <w:sz w:val="20"/>
          <w:szCs w:val="20"/>
        </w:rPr>
        <w:t>Nunavummi</w:t>
      </w:r>
      <w:proofErr w:type="spellEnd"/>
      <w:r w:rsidRPr="00A04969">
        <w:rPr>
          <w:rFonts w:ascii="Times New Roman" w:hAnsi="Times New Roman" w:cs="Times New Roman"/>
          <w:bCs/>
          <w:sz w:val="20"/>
          <w:szCs w:val="20"/>
        </w:rPr>
        <w:t xml:space="preserve"> </w:t>
      </w:r>
      <w:proofErr w:type="spellStart"/>
      <w:r w:rsidRPr="00A04969">
        <w:rPr>
          <w:rFonts w:ascii="Times New Roman" w:hAnsi="Times New Roman" w:cs="Times New Roman"/>
          <w:bCs/>
          <w:sz w:val="20"/>
          <w:szCs w:val="20"/>
        </w:rPr>
        <w:t>Nangminiqaqtunik</w:t>
      </w:r>
      <w:proofErr w:type="spellEnd"/>
      <w:r w:rsidRPr="00A04969">
        <w:rPr>
          <w:rFonts w:ascii="Times New Roman" w:hAnsi="Times New Roman" w:cs="Times New Roman"/>
          <w:bCs/>
          <w:sz w:val="20"/>
          <w:szCs w:val="20"/>
        </w:rPr>
        <w:t xml:space="preserve"> </w:t>
      </w:r>
      <w:proofErr w:type="spellStart"/>
      <w:r w:rsidRPr="00A04969">
        <w:rPr>
          <w:rFonts w:ascii="Times New Roman" w:hAnsi="Times New Roman" w:cs="Times New Roman"/>
          <w:bCs/>
          <w:sz w:val="20"/>
          <w:szCs w:val="20"/>
        </w:rPr>
        <w:t>Ikajuuti</w:t>
      </w:r>
      <w:proofErr w:type="spellEnd"/>
      <w:r w:rsidRPr="00A04969">
        <w:rPr>
          <w:rFonts w:ascii="Times New Roman" w:hAnsi="Times New Roman" w:cs="Times New Roman"/>
          <w:bCs/>
          <w:sz w:val="20"/>
          <w:szCs w:val="20"/>
        </w:rPr>
        <w:t xml:space="preserve"> (NNI Policy) (May 2005).</w:t>
      </w:r>
    </w:p>
  </w:footnote>
  <w:footnote w:id="374">
    <w:p w14:paraId="021856CE" w14:textId="0874BDBF"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U.N. Human Rights Council, </w:t>
      </w:r>
      <w:r w:rsidRPr="00A04969">
        <w:rPr>
          <w:rFonts w:ascii="Times New Roman" w:hAnsi="Times New Roman" w:cs="Times New Roman"/>
          <w:i/>
          <w:sz w:val="20"/>
          <w:szCs w:val="20"/>
        </w:rPr>
        <w:t>Report of the Special Rapporteur on the Rights of Indigenous Peoples</w:t>
      </w:r>
      <w:r w:rsidRPr="00A04969">
        <w:rPr>
          <w:rFonts w:ascii="Times New Roman" w:hAnsi="Times New Roman" w:cs="Times New Roman"/>
          <w:sz w:val="20"/>
          <w:szCs w:val="20"/>
        </w:rPr>
        <w:t>, ¶ 79, A/HRC/15/37 (July 19, 2010) [hereinafter UNHRC 2010].</w:t>
      </w:r>
    </w:p>
  </w:footnote>
  <w:footnote w:id="375">
    <w:p w14:paraId="7AC6DF98" w14:textId="28DE1F95" w:rsidR="00D43BBB" w:rsidRPr="00A04969" w:rsidRDefault="00D43BBB" w:rsidP="002420B7">
      <w:pPr>
        <w:widowControl w:val="0"/>
        <w:autoSpaceDE w:val="0"/>
        <w:autoSpaceDN w:val="0"/>
        <w:adjustRightInd w:val="0"/>
        <w:rPr>
          <w:sz w:val="20"/>
          <w:szCs w:val="20"/>
        </w:rPr>
      </w:pPr>
      <w:r w:rsidRPr="00A04969">
        <w:rPr>
          <w:rStyle w:val="FootnoteReference"/>
          <w:sz w:val="20"/>
          <w:szCs w:val="20"/>
        </w:rPr>
        <w:footnoteRef/>
      </w:r>
      <w:r w:rsidRPr="00A04969">
        <w:rPr>
          <w:sz w:val="20"/>
          <w:szCs w:val="20"/>
        </w:rPr>
        <w:t xml:space="preserve"> 43 U.S.C. § 1608(1</w:t>
      </w:r>
      <w:proofErr w:type="gramStart"/>
      <w:r w:rsidRPr="00A04969">
        <w:rPr>
          <w:sz w:val="20"/>
          <w:szCs w:val="20"/>
        </w:rPr>
        <w:t>)(</w:t>
      </w:r>
      <w:proofErr w:type="gramEnd"/>
      <w:r w:rsidRPr="00A04969">
        <w:rPr>
          <w:sz w:val="20"/>
          <w:szCs w:val="20"/>
        </w:rPr>
        <w:t>b).</w:t>
      </w:r>
    </w:p>
  </w:footnote>
  <w:footnote w:id="376">
    <w:p w14:paraId="3A7CC45B" w14:textId="3AE9486E"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Inuvialuit Final Agreement, July 21, 1984, § (6)(4)(a).</w:t>
      </w:r>
    </w:p>
  </w:footnote>
  <w:footnote w:id="377">
    <w:p w14:paraId="7B338317" w14:textId="727A0200"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r w:rsidRPr="00A04969">
        <w:rPr>
          <w:rFonts w:ascii="Times New Roman" w:hAnsi="Times New Roman" w:cs="Times New Roman"/>
          <w:color w:val="1A1A1A"/>
          <w:sz w:val="20"/>
          <w:szCs w:val="20"/>
        </w:rPr>
        <w:t>Nunavut Land Claims Agreement</w:t>
      </w:r>
      <w:r w:rsidRPr="00A04969">
        <w:rPr>
          <w:rFonts w:ascii="Times New Roman" w:hAnsi="Times New Roman" w:cs="Times New Roman"/>
          <w:sz w:val="20"/>
          <w:szCs w:val="20"/>
        </w:rPr>
        <w:t>, § 25.1.1.</w:t>
      </w:r>
    </w:p>
  </w:footnote>
  <w:footnote w:id="378">
    <w:p w14:paraId="4690AE76" w14:textId="7D9C1514"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Article 39.</w:t>
      </w:r>
    </w:p>
  </w:footnote>
  <w:footnote w:id="379">
    <w:p w14:paraId="1D02E1A8" w14:textId="25AD4C6D"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proofErr w:type="gramStart"/>
      <w:r w:rsidRPr="00A04969">
        <w:rPr>
          <w:rFonts w:ascii="Times New Roman" w:hAnsi="Times New Roman" w:cs="Times New Roman"/>
          <w:sz w:val="20"/>
          <w:szCs w:val="20"/>
        </w:rPr>
        <w:t xml:space="preserve">ICC Declaration on Resource Development, </w:t>
      </w:r>
      <w:r w:rsidRPr="00A04969">
        <w:rPr>
          <w:rFonts w:ascii="Times New Roman" w:hAnsi="Times New Roman" w:cs="Times New Roman"/>
          <w:i/>
          <w:sz w:val="20"/>
          <w:szCs w:val="20"/>
        </w:rPr>
        <w:t>supra</w:t>
      </w:r>
      <w:r w:rsidRPr="00A04969">
        <w:rPr>
          <w:rFonts w:ascii="Times New Roman" w:hAnsi="Times New Roman" w:cs="Times New Roman"/>
          <w:sz w:val="20"/>
          <w:szCs w:val="20"/>
        </w:rPr>
        <w:t xml:space="preserve"> n. </w:t>
      </w:r>
      <w:r w:rsidRPr="00A04969">
        <w:rPr>
          <w:rFonts w:ascii="Times New Roman" w:hAnsi="Times New Roman" w:cs="Times New Roman"/>
          <w:sz w:val="20"/>
          <w:szCs w:val="20"/>
        </w:rPr>
        <w:fldChar w:fldCharType="begin"/>
      </w:r>
      <w:r w:rsidRPr="00A04969">
        <w:rPr>
          <w:rFonts w:ascii="Times New Roman" w:hAnsi="Times New Roman" w:cs="Times New Roman"/>
          <w:sz w:val="20"/>
          <w:szCs w:val="20"/>
        </w:rPr>
        <w:instrText xml:space="preserve"> NOTEREF _Ref333325072 </w:instrText>
      </w:r>
      <w:r w:rsidRPr="00A04969">
        <w:rPr>
          <w:rFonts w:ascii="Times New Roman" w:hAnsi="Times New Roman" w:cs="Times New Roman"/>
          <w:sz w:val="20"/>
          <w:szCs w:val="20"/>
        </w:rPr>
        <w:fldChar w:fldCharType="separate"/>
      </w:r>
      <w:r>
        <w:rPr>
          <w:rFonts w:ascii="Times New Roman" w:hAnsi="Times New Roman" w:cs="Times New Roman"/>
          <w:sz w:val="20"/>
          <w:szCs w:val="20"/>
        </w:rPr>
        <w:t>62</w:t>
      </w:r>
      <w:r w:rsidRPr="00A04969">
        <w:rPr>
          <w:rFonts w:ascii="Times New Roman" w:hAnsi="Times New Roman" w:cs="Times New Roman"/>
          <w:sz w:val="20"/>
          <w:szCs w:val="20"/>
        </w:rPr>
        <w:fldChar w:fldCharType="end"/>
      </w:r>
      <w:r w:rsidRPr="00A04969">
        <w:rPr>
          <w:rFonts w:ascii="Times New Roman" w:hAnsi="Times New Roman" w:cs="Times New Roman"/>
          <w:sz w:val="20"/>
          <w:szCs w:val="20"/>
        </w:rPr>
        <w:t xml:space="preserve">; ICC Arctic Policy, </w:t>
      </w:r>
      <w:r w:rsidRPr="00A04969">
        <w:rPr>
          <w:rFonts w:ascii="Times New Roman" w:hAnsi="Times New Roman" w:cs="Times New Roman"/>
          <w:i/>
          <w:sz w:val="20"/>
          <w:szCs w:val="20"/>
        </w:rPr>
        <w:t>supra</w:t>
      </w:r>
      <w:r w:rsidRPr="00A04969">
        <w:rPr>
          <w:rFonts w:ascii="Times New Roman" w:hAnsi="Times New Roman" w:cs="Times New Roman"/>
          <w:sz w:val="20"/>
          <w:szCs w:val="20"/>
        </w:rPr>
        <w:t xml:space="preserve"> n. </w:t>
      </w:r>
      <w:r w:rsidRPr="00A04969">
        <w:rPr>
          <w:rFonts w:ascii="Times New Roman" w:hAnsi="Times New Roman" w:cs="Times New Roman"/>
          <w:sz w:val="20"/>
          <w:szCs w:val="20"/>
        </w:rPr>
        <w:fldChar w:fldCharType="begin"/>
      </w:r>
      <w:r w:rsidRPr="00A04969">
        <w:rPr>
          <w:rFonts w:ascii="Times New Roman" w:hAnsi="Times New Roman" w:cs="Times New Roman"/>
          <w:sz w:val="20"/>
          <w:szCs w:val="20"/>
        </w:rPr>
        <w:instrText xml:space="preserve"> NOTEREF _Ref333385533 </w:instrText>
      </w:r>
      <w:r w:rsidRPr="00A04969">
        <w:rPr>
          <w:rFonts w:ascii="Times New Roman" w:hAnsi="Times New Roman" w:cs="Times New Roman"/>
          <w:sz w:val="20"/>
          <w:szCs w:val="20"/>
        </w:rPr>
        <w:fldChar w:fldCharType="separate"/>
      </w:r>
      <w:r>
        <w:rPr>
          <w:rFonts w:ascii="Times New Roman" w:hAnsi="Times New Roman" w:cs="Times New Roman"/>
          <w:sz w:val="20"/>
          <w:szCs w:val="20"/>
        </w:rPr>
        <w:t>92</w:t>
      </w:r>
      <w:r w:rsidRPr="00A04969">
        <w:rPr>
          <w:rFonts w:ascii="Times New Roman" w:hAnsi="Times New Roman" w:cs="Times New Roman"/>
          <w:sz w:val="20"/>
          <w:szCs w:val="20"/>
        </w:rPr>
        <w:fldChar w:fldCharType="end"/>
      </w:r>
      <w:r w:rsidRPr="00A04969">
        <w:rPr>
          <w:rFonts w:ascii="Times New Roman" w:hAnsi="Times New Roman" w:cs="Times New Roman"/>
          <w:sz w:val="20"/>
          <w:szCs w:val="20"/>
        </w:rPr>
        <w:t>.</w:t>
      </w:r>
      <w:proofErr w:type="gramEnd"/>
    </w:p>
  </w:footnote>
  <w:footnote w:id="380">
    <w:p w14:paraId="43919F9A" w14:textId="17EF8C36" w:rsidR="00D43BBB" w:rsidRPr="00A04969" w:rsidRDefault="00D43BBB" w:rsidP="002420B7">
      <w:pPr>
        <w:rPr>
          <w:caps/>
          <w:sz w:val="20"/>
          <w:szCs w:val="20"/>
        </w:rPr>
      </w:pPr>
      <w:r w:rsidRPr="00A04969">
        <w:rPr>
          <w:rStyle w:val="FootnoteReference"/>
          <w:sz w:val="20"/>
          <w:szCs w:val="20"/>
        </w:rPr>
        <w:footnoteRef/>
      </w:r>
      <w:r w:rsidRPr="00A04969">
        <w:rPr>
          <w:sz w:val="20"/>
          <w:szCs w:val="20"/>
        </w:rPr>
        <w:t xml:space="preserve"> </w:t>
      </w:r>
      <w:r w:rsidRPr="00A04969">
        <w:rPr>
          <w:i/>
          <w:sz w:val="20"/>
          <w:szCs w:val="20"/>
        </w:rPr>
        <w:t>See, e.g.,</w:t>
      </w:r>
      <w:r w:rsidRPr="00A04969">
        <w:rPr>
          <w:sz w:val="20"/>
          <w:szCs w:val="20"/>
        </w:rPr>
        <w:t xml:space="preserve"> Bristol Bay Native Association Policy Guidelines For Research In Bristol Bay.</w:t>
      </w:r>
    </w:p>
  </w:footnote>
  <w:footnote w:id="381">
    <w:p w14:paraId="2153D0D5" w14:textId="0459C90B"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AACA (a) report, </w:t>
      </w:r>
      <w:r w:rsidRPr="00A04969">
        <w:rPr>
          <w:rFonts w:ascii="Times New Roman" w:hAnsi="Times New Roman" w:cs="Times New Roman"/>
          <w:i/>
          <w:sz w:val="20"/>
          <w:szCs w:val="20"/>
        </w:rPr>
        <w:t>supra</w:t>
      </w:r>
      <w:r w:rsidRPr="00A04969">
        <w:rPr>
          <w:rFonts w:ascii="Times New Roman" w:hAnsi="Times New Roman" w:cs="Times New Roman"/>
          <w:sz w:val="20"/>
          <w:szCs w:val="20"/>
        </w:rPr>
        <w:t xml:space="preserve"> n. </w:t>
      </w:r>
      <w:r w:rsidRPr="00A04969">
        <w:rPr>
          <w:rFonts w:ascii="Times New Roman" w:hAnsi="Times New Roman" w:cs="Times New Roman"/>
          <w:sz w:val="20"/>
          <w:szCs w:val="20"/>
        </w:rPr>
        <w:fldChar w:fldCharType="begin"/>
      </w:r>
      <w:r w:rsidRPr="00A04969">
        <w:rPr>
          <w:rFonts w:ascii="Times New Roman" w:hAnsi="Times New Roman" w:cs="Times New Roman"/>
          <w:sz w:val="20"/>
          <w:szCs w:val="20"/>
        </w:rPr>
        <w:instrText xml:space="preserve"> NOTEREF _Ref333606215 </w:instrText>
      </w:r>
      <w:r w:rsidRPr="00A04969">
        <w:rPr>
          <w:rFonts w:ascii="Times New Roman" w:hAnsi="Times New Roman" w:cs="Times New Roman"/>
          <w:sz w:val="20"/>
          <w:szCs w:val="20"/>
        </w:rPr>
        <w:fldChar w:fldCharType="separate"/>
      </w:r>
      <w:r>
        <w:rPr>
          <w:rFonts w:ascii="Times New Roman" w:hAnsi="Times New Roman" w:cs="Times New Roman"/>
          <w:sz w:val="20"/>
          <w:szCs w:val="20"/>
        </w:rPr>
        <w:t>161</w:t>
      </w:r>
      <w:r w:rsidRPr="00A04969">
        <w:rPr>
          <w:rFonts w:ascii="Times New Roman" w:hAnsi="Times New Roman" w:cs="Times New Roman"/>
          <w:sz w:val="20"/>
          <w:szCs w:val="20"/>
        </w:rPr>
        <w:fldChar w:fldCharType="end"/>
      </w:r>
      <w:r w:rsidRPr="00A04969">
        <w:rPr>
          <w:rFonts w:ascii="Times New Roman" w:hAnsi="Times New Roman" w:cs="Times New Roman"/>
          <w:sz w:val="20"/>
          <w:szCs w:val="20"/>
        </w:rPr>
        <w:t xml:space="preserve">. </w:t>
      </w:r>
    </w:p>
  </w:footnote>
  <w:footnote w:id="382">
    <w:p w14:paraId="473B0804" w14:textId="4EA44818"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proofErr w:type="gramStart"/>
      <w:r w:rsidRPr="00A04969">
        <w:rPr>
          <w:rFonts w:ascii="Times New Roman" w:eastAsia="Times New Roman" w:hAnsi="Times New Roman" w:cs="Times New Roman"/>
          <w:color w:val="000000"/>
          <w:sz w:val="20"/>
          <w:szCs w:val="20"/>
        </w:rPr>
        <w:t xml:space="preserve">SDWG Mining Guide, </w:t>
      </w:r>
      <w:r w:rsidRPr="00A04969">
        <w:rPr>
          <w:rFonts w:ascii="Times New Roman" w:eastAsia="Times New Roman" w:hAnsi="Times New Roman" w:cs="Times New Roman"/>
          <w:i/>
          <w:color w:val="000000"/>
          <w:sz w:val="20"/>
          <w:szCs w:val="20"/>
        </w:rPr>
        <w:t>supra</w:t>
      </w:r>
      <w:r w:rsidRPr="00A04969">
        <w:rPr>
          <w:rFonts w:ascii="Times New Roman" w:eastAsia="Times New Roman" w:hAnsi="Times New Roman" w:cs="Times New Roman"/>
          <w:color w:val="000000"/>
          <w:sz w:val="20"/>
          <w:szCs w:val="20"/>
        </w:rPr>
        <w:t xml:space="preserve"> n. </w:t>
      </w:r>
      <w:r w:rsidRPr="00A04969">
        <w:rPr>
          <w:rFonts w:ascii="Times New Roman" w:eastAsia="Times New Roman" w:hAnsi="Times New Roman" w:cs="Times New Roman"/>
          <w:color w:val="000000"/>
          <w:sz w:val="20"/>
          <w:szCs w:val="20"/>
        </w:rPr>
        <w:fldChar w:fldCharType="begin"/>
      </w:r>
      <w:r w:rsidRPr="00A04969">
        <w:rPr>
          <w:rFonts w:ascii="Times New Roman" w:eastAsia="Times New Roman" w:hAnsi="Times New Roman" w:cs="Times New Roman"/>
          <w:color w:val="000000"/>
          <w:sz w:val="20"/>
          <w:szCs w:val="20"/>
        </w:rPr>
        <w:instrText xml:space="preserve"> NOTEREF _Ref334082904 \h </w:instrText>
      </w:r>
      <w:r w:rsidRPr="00A04969">
        <w:rPr>
          <w:rFonts w:ascii="Times New Roman" w:eastAsia="Times New Roman" w:hAnsi="Times New Roman" w:cs="Times New Roman"/>
          <w:color w:val="000000"/>
          <w:sz w:val="20"/>
          <w:szCs w:val="20"/>
        </w:rPr>
      </w:r>
      <w:r w:rsidRPr="00A04969">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color w:val="000000"/>
          <w:sz w:val="20"/>
          <w:szCs w:val="20"/>
        </w:rPr>
        <w:t>38</w:t>
      </w:r>
      <w:r w:rsidRPr="00A04969">
        <w:rPr>
          <w:rFonts w:ascii="Times New Roman" w:eastAsia="Times New Roman" w:hAnsi="Times New Roman" w:cs="Times New Roman"/>
          <w:color w:val="000000"/>
          <w:sz w:val="20"/>
          <w:szCs w:val="20"/>
        </w:rPr>
        <w:fldChar w:fldCharType="end"/>
      </w:r>
      <w:r w:rsidRPr="00A04969">
        <w:rPr>
          <w:rFonts w:ascii="Times New Roman" w:eastAsia="Times New Roman" w:hAnsi="Times New Roman" w:cs="Times New Roman"/>
          <w:color w:val="000000"/>
          <w:sz w:val="20"/>
          <w:szCs w:val="20"/>
        </w:rPr>
        <w:t>.</w:t>
      </w:r>
      <w:proofErr w:type="gramEnd"/>
    </w:p>
  </w:footnote>
  <w:footnote w:id="383">
    <w:p w14:paraId="79E016A0" w14:textId="77777777" w:rsidR="00D43BBB" w:rsidRPr="00A04969" w:rsidRDefault="00D43BBB" w:rsidP="002420B7">
      <w:pPr>
        <w:widowControl w:val="0"/>
        <w:autoSpaceDE w:val="0"/>
        <w:autoSpaceDN w:val="0"/>
        <w:adjustRightInd w:val="0"/>
        <w:rPr>
          <w:sz w:val="20"/>
          <w:szCs w:val="20"/>
        </w:rPr>
      </w:pPr>
      <w:r w:rsidRPr="00A04969">
        <w:rPr>
          <w:rStyle w:val="FootnoteReference"/>
          <w:sz w:val="20"/>
          <w:szCs w:val="20"/>
        </w:rPr>
        <w:footnoteRef/>
      </w:r>
      <w:r w:rsidRPr="00A04969">
        <w:rPr>
          <w:sz w:val="20"/>
          <w:szCs w:val="20"/>
        </w:rPr>
        <w:t xml:space="preserve"> </w:t>
      </w:r>
      <w:r w:rsidRPr="00A04969">
        <w:rPr>
          <w:color w:val="1A1A1A"/>
          <w:sz w:val="20"/>
          <w:szCs w:val="20"/>
        </w:rPr>
        <w:t>Nunavut Land Claims Agreement</w:t>
      </w:r>
      <w:r w:rsidRPr="00A04969">
        <w:rPr>
          <w:sz w:val="20"/>
          <w:szCs w:val="20"/>
        </w:rPr>
        <w:t>, § 26.3.3.</w:t>
      </w:r>
    </w:p>
  </w:footnote>
  <w:footnote w:id="384">
    <w:p w14:paraId="030C8866" w14:textId="03825D80"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proofErr w:type="gramStart"/>
      <w:r w:rsidRPr="00A04969">
        <w:rPr>
          <w:rFonts w:ascii="Times New Roman" w:hAnsi="Times New Roman" w:cs="Times New Roman"/>
          <w:sz w:val="20"/>
          <w:szCs w:val="20"/>
        </w:rPr>
        <w:t xml:space="preserve">ICC Arctic Policy, </w:t>
      </w:r>
      <w:r w:rsidRPr="00A04969">
        <w:rPr>
          <w:rFonts w:ascii="Times New Roman" w:hAnsi="Times New Roman" w:cs="Times New Roman"/>
          <w:i/>
          <w:sz w:val="20"/>
          <w:szCs w:val="20"/>
        </w:rPr>
        <w:t>supra</w:t>
      </w:r>
      <w:r w:rsidRPr="00A04969">
        <w:rPr>
          <w:rFonts w:ascii="Times New Roman" w:hAnsi="Times New Roman" w:cs="Times New Roman"/>
          <w:sz w:val="20"/>
          <w:szCs w:val="20"/>
        </w:rPr>
        <w:t xml:space="preserve"> n. </w:t>
      </w:r>
      <w:r w:rsidRPr="00A04969">
        <w:rPr>
          <w:rFonts w:ascii="Times New Roman" w:hAnsi="Times New Roman" w:cs="Times New Roman"/>
          <w:sz w:val="20"/>
          <w:szCs w:val="20"/>
        </w:rPr>
        <w:fldChar w:fldCharType="begin"/>
      </w:r>
      <w:r w:rsidRPr="00A04969">
        <w:rPr>
          <w:rFonts w:ascii="Times New Roman" w:hAnsi="Times New Roman" w:cs="Times New Roman"/>
          <w:sz w:val="20"/>
          <w:szCs w:val="20"/>
        </w:rPr>
        <w:instrText xml:space="preserve"> NOTEREF _Ref333385533 </w:instrText>
      </w:r>
      <w:r w:rsidRPr="00A04969">
        <w:rPr>
          <w:rFonts w:ascii="Times New Roman" w:hAnsi="Times New Roman" w:cs="Times New Roman"/>
          <w:sz w:val="20"/>
          <w:szCs w:val="20"/>
        </w:rPr>
        <w:fldChar w:fldCharType="separate"/>
      </w:r>
      <w:r>
        <w:rPr>
          <w:rFonts w:ascii="Times New Roman" w:hAnsi="Times New Roman" w:cs="Times New Roman"/>
          <w:sz w:val="20"/>
          <w:szCs w:val="20"/>
        </w:rPr>
        <w:t>92</w:t>
      </w:r>
      <w:r w:rsidRPr="00A04969">
        <w:rPr>
          <w:rFonts w:ascii="Times New Roman" w:hAnsi="Times New Roman" w:cs="Times New Roman"/>
          <w:sz w:val="20"/>
          <w:szCs w:val="20"/>
        </w:rPr>
        <w:fldChar w:fldCharType="end"/>
      </w:r>
      <w:r w:rsidRPr="00A04969">
        <w:rPr>
          <w:rFonts w:ascii="Times New Roman" w:hAnsi="Times New Roman" w:cs="Times New Roman"/>
          <w:sz w:val="20"/>
          <w:szCs w:val="20"/>
        </w:rPr>
        <w:t>.</w:t>
      </w:r>
      <w:proofErr w:type="gramEnd"/>
    </w:p>
  </w:footnote>
  <w:footnote w:id="385">
    <w:p w14:paraId="25030EB2" w14:textId="77777777" w:rsidR="00D43BBB" w:rsidRPr="00A04969" w:rsidRDefault="00D43BBB" w:rsidP="002420B7">
      <w:pPr>
        <w:widowControl w:val="0"/>
        <w:autoSpaceDE w:val="0"/>
        <w:autoSpaceDN w:val="0"/>
        <w:adjustRightInd w:val="0"/>
        <w:rPr>
          <w:sz w:val="20"/>
          <w:szCs w:val="20"/>
        </w:rPr>
      </w:pPr>
      <w:r w:rsidRPr="00A04969">
        <w:rPr>
          <w:rStyle w:val="FootnoteReference"/>
          <w:sz w:val="20"/>
          <w:szCs w:val="20"/>
        </w:rPr>
        <w:footnoteRef/>
      </w:r>
      <w:r w:rsidRPr="00A04969">
        <w:rPr>
          <w:sz w:val="20"/>
          <w:szCs w:val="20"/>
        </w:rPr>
        <w:t xml:space="preserve"> Wilson, P. and Hiller, C. Drafting Impact Benefit Agreements. Continuing Legal Education Society of British Columbia (November 2011).</w:t>
      </w:r>
    </w:p>
  </w:footnote>
  <w:footnote w:id="386">
    <w:p w14:paraId="5D82196E" w14:textId="77777777" w:rsidR="00D43BBB" w:rsidRPr="00A04969" w:rsidRDefault="00D43BBB" w:rsidP="002420B7">
      <w:pPr>
        <w:pStyle w:val="FootnoteText"/>
        <w:rPr>
          <w:rFonts w:ascii="Times New Roman" w:hAnsi="Times New Roman" w:cs="Times New Roman"/>
          <w:b/>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r w:rsidRPr="00A04969">
        <w:rPr>
          <w:rFonts w:ascii="Times New Roman" w:hAnsi="Times New Roman" w:cs="Times New Roman"/>
          <w:bCs/>
          <w:iCs/>
          <w:sz w:val="20"/>
          <w:szCs w:val="20"/>
        </w:rPr>
        <w:t>Bureau of Minerals and Petroleum, Greenland</w:t>
      </w:r>
      <w:r w:rsidRPr="00A04969">
        <w:rPr>
          <w:rFonts w:ascii="Times New Roman" w:hAnsi="Times New Roman" w:cs="Times New Roman"/>
          <w:sz w:val="20"/>
          <w:szCs w:val="20"/>
        </w:rPr>
        <w:t xml:space="preserve">, </w:t>
      </w:r>
      <w:r w:rsidRPr="00A04969">
        <w:rPr>
          <w:rFonts w:ascii="Times New Roman" w:hAnsi="Times New Roman" w:cs="Times New Roman"/>
          <w:bCs/>
          <w:sz w:val="20"/>
          <w:szCs w:val="20"/>
        </w:rPr>
        <w:t>Guidelines for Social Impact Assessments</w:t>
      </w:r>
      <w:r w:rsidRPr="00A04969">
        <w:rPr>
          <w:rFonts w:ascii="Times New Roman" w:hAnsi="Times New Roman" w:cs="Times New Roman"/>
          <w:sz w:val="20"/>
          <w:szCs w:val="20"/>
        </w:rPr>
        <w:t xml:space="preserve"> for mining projects in Greenland (Nov. 2009).</w:t>
      </w:r>
    </w:p>
  </w:footnote>
  <w:footnote w:id="387">
    <w:p w14:paraId="12E7F9CF" w14:textId="353F55CA"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r w:rsidRPr="00A04969">
        <w:rPr>
          <w:rFonts w:ascii="Times New Roman" w:hAnsi="Times New Roman" w:cs="Times New Roman"/>
          <w:i/>
          <w:sz w:val="20"/>
          <w:szCs w:val="20"/>
        </w:rPr>
        <w:t>See, e.g</w:t>
      </w:r>
      <w:r w:rsidRPr="00A04969">
        <w:rPr>
          <w:rFonts w:ascii="Times New Roman" w:hAnsi="Times New Roman" w:cs="Times New Roman"/>
          <w:sz w:val="20"/>
          <w:szCs w:val="20"/>
        </w:rPr>
        <w:t xml:space="preserve">., Temagami Protocol, </w:t>
      </w:r>
      <w:r w:rsidRPr="00A04969">
        <w:rPr>
          <w:rFonts w:ascii="Times New Roman" w:hAnsi="Times New Roman" w:cs="Times New Roman"/>
          <w:i/>
          <w:sz w:val="20"/>
          <w:szCs w:val="20"/>
        </w:rPr>
        <w:t>supra</w:t>
      </w:r>
      <w:r w:rsidRPr="00A04969">
        <w:rPr>
          <w:rFonts w:ascii="Times New Roman" w:hAnsi="Times New Roman" w:cs="Times New Roman"/>
          <w:sz w:val="20"/>
          <w:szCs w:val="20"/>
        </w:rPr>
        <w:t xml:space="preserve"> n. </w:t>
      </w:r>
      <w:r w:rsidRPr="00A04969">
        <w:rPr>
          <w:rFonts w:ascii="Times New Roman" w:hAnsi="Times New Roman" w:cs="Times New Roman"/>
          <w:sz w:val="20"/>
          <w:szCs w:val="20"/>
        </w:rPr>
        <w:fldChar w:fldCharType="begin"/>
      </w:r>
      <w:r w:rsidRPr="00A04969">
        <w:rPr>
          <w:rFonts w:ascii="Times New Roman" w:hAnsi="Times New Roman" w:cs="Times New Roman"/>
          <w:sz w:val="20"/>
          <w:szCs w:val="20"/>
        </w:rPr>
        <w:instrText xml:space="preserve"> NOTEREF _Ref333349060 \h </w:instrText>
      </w:r>
      <w:r w:rsidRPr="00A04969">
        <w:rPr>
          <w:rFonts w:ascii="Times New Roman" w:hAnsi="Times New Roman" w:cs="Times New Roman"/>
          <w:sz w:val="20"/>
          <w:szCs w:val="20"/>
        </w:rPr>
      </w:r>
      <w:r w:rsidRPr="00A04969">
        <w:rPr>
          <w:rFonts w:ascii="Times New Roman" w:hAnsi="Times New Roman" w:cs="Times New Roman"/>
          <w:sz w:val="20"/>
          <w:szCs w:val="20"/>
        </w:rPr>
        <w:fldChar w:fldCharType="separate"/>
      </w:r>
      <w:r>
        <w:rPr>
          <w:rFonts w:ascii="Times New Roman" w:hAnsi="Times New Roman" w:cs="Times New Roman"/>
          <w:sz w:val="20"/>
          <w:szCs w:val="20"/>
        </w:rPr>
        <w:t>100</w:t>
      </w:r>
      <w:r w:rsidRPr="00A04969">
        <w:rPr>
          <w:rFonts w:ascii="Times New Roman" w:hAnsi="Times New Roman" w:cs="Times New Roman"/>
          <w:sz w:val="20"/>
          <w:szCs w:val="20"/>
        </w:rPr>
        <w:fldChar w:fldCharType="end"/>
      </w:r>
      <w:r w:rsidRPr="00A04969">
        <w:rPr>
          <w:rFonts w:ascii="Times New Roman" w:hAnsi="Times New Roman" w:cs="Times New Roman"/>
          <w:sz w:val="20"/>
          <w:szCs w:val="20"/>
        </w:rPr>
        <w:t>, Step 4: Consultation at Advanced Exploration Stage and Mine Development.</w:t>
      </w:r>
    </w:p>
  </w:footnote>
  <w:footnote w:id="388">
    <w:p w14:paraId="6C282BF3" w14:textId="77777777"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r w:rsidRPr="00A04969">
        <w:rPr>
          <w:rFonts w:ascii="Times New Roman" w:hAnsi="Times New Roman" w:cs="Times New Roman"/>
          <w:i/>
          <w:sz w:val="20"/>
          <w:szCs w:val="20"/>
        </w:rPr>
        <w:t>See, e.g.,</w:t>
      </w:r>
      <w:r w:rsidRPr="00A04969">
        <w:rPr>
          <w:rFonts w:ascii="Times New Roman" w:hAnsi="Times New Roman" w:cs="Times New Roman"/>
          <w:sz w:val="20"/>
          <w:szCs w:val="20"/>
        </w:rPr>
        <w:t xml:space="preserve"> WWF Code of Conduct for Operators in the Arctic (counseling tourism operators to hire local staff, contract with local business, and operate in ways that benefit the local communities).</w:t>
      </w:r>
    </w:p>
  </w:footnote>
  <w:footnote w:id="389">
    <w:p w14:paraId="7DD73857" w14:textId="675E302F" w:rsidR="00D43BBB" w:rsidRPr="00A04969" w:rsidRDefault="00D43BBB" w:rsidP="002420B7">
      <w:pPr>
        <w:widowControl w:val="0"/>
        <w:autoSpaceDE w:val="0"/>
        <w:autoSpaceDN w:val="0"/>
        <w:adjustRightInd w:val="0"/>
        <w:rPr>
          <w:sz w:val="20"/>
          <w:szCs w:val="20"/>
          <w:lang w:val="en-US"/>
        </w:rPr>
      </w:pPr>
      <w:r w:rsidRPr="00A04969">
        <w:rPr>
          <w:rStyle w:val="FootnoteReference"/>
          <w:sz w:val="20"/>
          <w:szCs w:val="20"/>
        </w:rPr>
        <w:footnoteRef/>
      </w:r>
      <w:r w:rsidRPr="00A04969">
        <w:rPr>
          <w:sz w:val="20"/>
          <w:szCs w:val="20"/>
        </w:rPr>
        <w:t xml:space="preserve"> </w:t>
      </w:r>
      <w:r w:rsidRPr="00A04969">
        <w:rPr>
          <w:sz w:val="20"/>
          <w:szCs w:val="20"/>
          <w:lang w:val="en-US"/>
        </w:rPr>
        <w:t xml:space="preserve">Lemelin, R. et al., </w:t>
      </w:r>
      <w:r w:rsidRPr="00A04969">
        <w:rPr>
          <w:bCs/>
          <w:sz w:val="20"/>
          <w:szCs w:val="20"/>
          <w:lang w:val="en-US"/>
        </w:rPr>
        <w:t>From Hunting and Fishing to Cultural Tourism and Ecotourism: Examining the Transitioning Tourism Industry in Nunavik</w:t>
      </w:r>
      <w:r w:rsidRPr="00A04969">
        <w:rPr>
          <w:sz w:val="20"/>
          <w:szCs w:val="20"/>
          <w:lang w:val="en-US"/>
        </w:rPr>
        <w:t>, 2:1 Polar Journal 39, 50 (2012).</w:t>
      </w:r>
    </w:p>
  </w:footnote>
  <w:footnote w:id="390">
    <w:p w14:paraId="0ECC968E" w14:textId="0456E3FE" w:rsidR="00D43BBB" w:rsidRPr="00A04969" w:rsidRDefault="00D43BBB" w:rsidP="00E927B2">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r w:rsidRPr="00A04969">
        <w:rPr>
          <w:rFonts w:ascii="Times New Roman" w:hAnsi="Times New Roman" w:cs="Times New Roman"/>
          <w:color w:val="1A1A1A"/>
          <w:sz w:val="20"/>
          <w:szCs w:val="20"/>
        </w:rPr>
        <w:t>Nunavut Land Claims Agreement</w:t>
      </w:r>
      <w:r w:rsidRPr="00A04969">
        <w:rPr>
          <w:rFonts w:ascii="Times New Roman" w:hAnsi="Times New Roman" w:cs="Times New Roman"/>
          <w:sz w:val="20"/>
          <w:szCs w:val="20"/>
        </w:rPr>
        <w:t xml:space="preserve">, §§ 23.2.1, 23.4.2, 23.5.1, </w:t>
      </w:r>
    </w:p>
  </w:footnote>
  <w:footnote w:id="391">
    <w:p w14:paraId="50D56E9D" w14:textId="63666A36" w:rsidR="00D43BBB" w:rsidRPr="00A04969" w:rsidRDefault="00D43BBB" w:rsidP="00E927B2">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proofErr w:type="gramStart"/>
      <w:r w:rsidRPr="00A04969">
        <w:rPr>
          <w:rFonts w:ascii="Times New Roman" w:eastAsia="Times New Roman" w:hAnsi="Times New Roman" w:cs="Times New Roman"/>
          <w:color w:val="000000"/>
          <w:sz w:val="20"/>
          <w:szCs w:val="20"/>
        </w:rPr>
        <w:t xml:space="preserve">IARPC Principles, </w:t>
      </w:r>
      <w:r w:rsidRPr="00A04969">
        <w:rPr>
          <w:rFonts w:ascii="Times New Roman" w:eastAsia="Times New Roman" w:hAnsi="Times New Roman" w:cs="Times New Roman"/>
          <w:i/>
          <w:color w:val="000000"/>
          <w:sz w:val="20"/>
          <w:szCs w:val="20"/>
        </w:rPr>
        <w:t>supra</w:t>
      </w:r>
      <w:r w:rsidRPr="00A04969">
        <w:rPr>
          <w:rFonts w:ascii="Times New Roman" w:eastAsia="Times New Roman" w:hAnsi="Times New Roman" w:cs="Times New Roman"/>
          <w:color w:val="000000"/>
          <w:sz w:val="20"/>
          <w:szCs w:val="20"/>
        </w:rPr>
        <w:t xml:space="preserve"> n. </w:t>
      </w:r>
      <w:r w:rsidRPr="00A04969">
        <w:rPr>
          <w:rFonts w:ascii="Times New Roman" w:eastAsia="Times New Roman" w:hAnsi="Times New Roman" w:cs="Times New Roman"/>
          <w:color w:val="000000"/>
          <w:sz w:val="20"/>
          <w:szCs w:val="20"/>
        </w:rPr>
        <w:fldChar w:fldCharType="begin"/>
      </w:r>
      <w:r w:rsidRPr="00A04969">
        <w:rPr>
          <w:rFonts w:ascii="Times New Roman" w:eastAsia="Times New Roman" w:hAnsi="Times New Roman" w:cs="Times New Roman"/>
          <w:color w:val="000000"/>
          <w:sz w:val="20"/>
          <w:szCs w:val="20"/>
        </w:rPr>
        <w:instrText xml:space="preserve"> NOTEREF _Ref334083103 \h </w:instrText>
      </w:r>
      <w:r w:rsidRPr="00A04969">
        <w:rPr>
          <w:rFonts w:ascii="Times New Roman" w:eastAsia="Times New Roman" w:hAnsi="Times New Roman" w:cs="Times New Roman"/>
          <w:color w:val="000000"/>
          <w:sz w:val="20"/>
          <w:szCs w:val="20"/>
        </w:rPr>
      </w:r>
      <w:r w:rsidRPr="00A04969">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color w:val="000000"/>
          <w:sz w:val="20"/>
          <w:szCs w:val="20"/>
        </w:rPr>
        <w:t>57</w:t>
      </w:r>
      <w:r w:rsidRPr="00A04969">
        <w:rPr>
          <w:rFonts w:ascii="Times New Roman" w:eastAsia="Times New Roman" w:hAnsi="Times New Roman" w:cs="Times New Roman"/>
          <w:color w:val="000000"/>
          <w:sz w:val="20"/>
          <w:szCs w:val="20"/>
        </w:rPr>
        <w:fldChar w:fldCharType="end"/>
      </w:r>
      <w:r w:rsidRPr="00A04969">
        <w:rPr>
          <w:rFonts w:ascii="Times New Roman" w:eastAsia="Times New Roman" w:hAnsi="Times New Roman" w:cs="Times New Roman"/>
          <w:color w:val="000000"/>
          <w:sz w:val="20"/>
          <w:szCs w:val="20"/>
        </w:rPr>
        <w:t xml:space="preserve">; </w:t>
      </w:r>
      <w:r w:rsidRPr="00A04969">
        <w:rPr>
          <w:rFonts w:ascii="Times New Roman" w:hAnsi="Times New Roman" w:cs="Times New Roman"/>
          <w:sz w:val="20"/>
          <w:szCs w:val="20"/>
        </w:rPr>
        <w:t>R</w:t>
      </w:r>
      <w:r w:rsidRPr="00A04969">
        <w:rPr>
          <w:rFonts w:ascii="Times New Roman" w:hAnsi="Times New Roman" w:cs="Times New Roman"/>
          <w:iCs/>
          <w:sz w:val="20"/>
          <w:szCs w:val="20"/>
        </w:rPr>
        <w:t>aymond-</w:t>
      </w:r>
      <w:proofErr w:type="spellStart"/>
      <w:r w:rsidRPr="00A04969">
        <w:rPr>
          <w:rFonts w:ascii="Times New Roman" w:hAnsi="Times New Roman" w:cs="Times New Roman"/>
          <w:iCs/>
          <w:sz w:val="20"/>
          <w:szCs w:val="20"/>
        </w:rPr>
        <w:t>Yakoubian</w:t>
      </w:r>
      <w:proofErr w:type="spellEnd"/>
      <w:r w:rsidRPr="00A04969">
        <w:rPr>
          <w:rFonts w:ascii="Times New Roman" w:hAnsi="Times New Roman" w:cs="Times New Roman"/>
          <w:iCs/>
          <w:sz w:val="20"/>
          <w:szCs w:val="20"/>
        </w:rPr>
        <w:t>, J. et al</w:t>
      </w:r>
      <w:r w:rsidRPr="00A04969">
        <w:rPr>
          <w:rFonts w:ascii="Times New Roman" w:hAnsi="Times New Roman" w:cs="Times New Roman"/>
          <w:sz w:val="20"/>
          <w:szCs w:val="20"/>
        </w:rPr>
        <w:t xml:space="preserve">, </w:t>
      </w:r>
      <w:r w:rsidRPr="00A04969">
        <w:rPr>
          <w:rFonts w:ascii="Times New Roman" w:hAnsi="Times New Roman" w:cs="Times New Roman"/>
          <w:i/>
          <w:sz w:val="20"/>
          <w:szCs w:val="20"/>
        </w:rPr>
        <w:t>supra</w:t>
      </w:r>
      <w:r w:rsidRPr="00A04969">
        <w:rPr>
          <w:rFonts w:ascii="Times New Roman" w:hAnsi="Times New Roman" w:cs="Times New Roman"/>
          <w:sz w:val="20"/>
          <w:szCs w:val="20"/>
        </w:rPr>
        <w:t xml:space="preserve"> n. </w:t>
      </w:r>
      <w:r w:rsidRPr="00A04969">
        <w:rPr>
          <w:rFonts w:ascii="Times New Roman" w:hAnsi="Times New Roman" w:cs="Times New Roman"/>
          <w:sz w:val="20"/>
          <w:szCs w:val="20"/>
        </w:rPr>
        <w:fldChar w:fldCharType="begin"/>
      </w:r>
      <w:r w:rsidRPr="00A04969">
        <w:rPr>
          <w:rFonts w:ascii="Times New Roman" w:hAnsi="Times New Roman" w:cs="Times New Roman"/>
          <w:sz w:val="20"/>
          <w:szCs w:val="20"/>
        </w:rPr>
        <w:instrText xml:space="preserve"> NOTEREF _Ref334006869 \h </w:instrText>
      </w:r>
      <w:r w:rsidRPr="00A04969">
        <w:rPr>
          <w:rFonts w:ascii="Times New Roman" w:hAnsi="Times New Roman" w:cs="Times New Roman"/>
          <w:sz w:val="20"/>
          <w:szCs w:val="20"/>
        </w:rPr>
      </w:r>
      <w:r w:rsidRPr="00A04969">
        <w:rPr>
          <w:rFonts w:ascii="Times New Roman" w:hAnsi="Times New Roman" w:cs="Times New Roman"/>
          <w:sz w:val="20"/>
          <w:szCs w:val="20"/>
        </w:rPr>
        <w:fldChar w:fldCharType="separate"/>
      </w:r>
      <w:r>
        <w:rPr>
          <w:rFonts w:ascii="Times New Roman" w:hAnsi="Times New Roman" w:cs="Times New Roman"/>
          <w:sz w:val="20"/>
          <w:szCs w:val="20"/>
        </w:rPr>
        <w:t>86</w:t>
      </w:r>
      <w:r w:rsidRPr="00A04969">
        <w:rPr>
          <w:rFonts w:ascii="Times New Roman" w:hAnsi="Times New Roman" w:cs="Times New Roman"/>
          <w:sz w:val="20"/>
          <w:szCs w:val="20"/>
        </w:rPr>
        <w:fldChar w:fldCharType="end"/>
      </w:r>
      <w:r w:rsidRPr="00A04969">
        <w:rPr>
          <w:rFonts w:ascii="Times New Roman" w:hAnsi="Times New Roman" w:cs="Times New Roman"/>
          <w:sz w:val="20"/>
          <w:szCs w:val="20"/>
        </w:rPr>
        <w:t xml:space="preserve"> </w:t>
      </w:r>
      <w:r w:rsidRPr="00A04969">
        <w:rPr>
          <w:rFonts w:ascii="Times New Roman" w:eastAsia="Times New Roman" w:hAnsi="Times New Roman" w:cs="Times New Roman"/>
          <w:color w:val="000000"/>
          <w:sz w:val="20"/>
          <w:szCs w:val="20"/>
        </w:rPr>
        <w:t>at 56.</w:t>
      </w:r>
      <w:proofErr w:type="gramEnd"/>
    </w:p>
  </w:footnote>
  <w:footnote w:id="392">
    <w:p w14:paraId="2799353C" w14:textId="6EBCF6C5" w:rsidR="00D43BBB" w:rsidRPr="00A04969" w:rsidRDefault="00D43BBB" w:rsidP="00E927B2">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proofErr w:type="gramStart"/>
      <w:r w:rsidRPr="00A04969">
        <w:rPr>
          <w:rFonts w:ascii="Times New Roman" w:hAnsi="Times New Roman" w:cs="Times New Roman"/>
          <w:sz w:val="20"/>
          <w:szCs w:val="20"/>
        </w:rPr>
        <w:t>AACA(</w:t>
      </w:r>
      <w:proofErr w:type="gramEnd"/>
      <w:r w:rsidRPr="00A04969">
        <w:rPr>
          <w:rFonts w:ascii="Times New Roman" w:hAnsi="Times New Roman" w:cs="Times New Roman"/>
          <w:sz w:val="20"/>
          <w:szCs w:val="20"/>
        </w:rPr>
        <w:t xml:space="preserve">a), </w:t>
      </w:r>
      <w:r w:rsidRPr="00A04969">
        <w:rPr>
          <w:rFonts w:ascii="Times New Roman" w:hAnsi="Times New Roman" w:cs="Times New Roman"/>
          <w:i/>
          <w:sz w:val="20"/>
          <w:szCs w:val="20"/>
        </w:rPr>
        <w:t>supra</w:t>
      </w:r>
      <w:r w:rsidRPr="00A04969">
        <w:rPr>
          <w:rFonts w:ascii="Times New Roman" w:hAnsi="Times New Roman" w:cs="Times New Roman"/>
          <w:sz w:val="20"/>
          <w:szCs w:val="20"/>
        </w:rPr>
        <w:t xml:space="preserve"> n. </w:t>
      </w:r>
      <w:r w:rsidRPr="00A04969">
        <w:rPr>
          <w:rFonts w:ascii="Times New Roman" w:hAnsi="Times New Roman" w:cs="Times New Roman"/>
          <w:sz w:val="20"/>
          <w:szCs w:val="20"/>
        </w:rPr>
        <w:fldChar w:fldCharType="begin"/>
      </w:r>
      <w:r w:rsidRPr="00A04969">
        <w:rPr>
          <w:rFonts w:ascii="Times New Roman" w:hAnsi="Times New Roman" w:cs="Times New Roman"/>
          <w:sz w:val="20"/>
          <w:szCs w:val="20"/>
        </w:rPr>
        <w:instrText xml:space="preserve"> NOTEREF _Ref333606215 \h </w:instrText>
      </w:r>
      <w:r w:rsidRPr="00A04969">
        <w:rPr>
          <w:rFonts w:ascii="Times New Roman" w:hAnsi="Times New Roman" w:cs="Times New Roman"/>
          <w:sz w:val="20"/>
          <w:szCs w:val="20"/>
        </w:rPr>
      </w:r>
      <w:r w:rsidRPr="00A04969">
        <w:rPr>
          <w:rFonts w:ascii="Times New Roman" w:hAnsi="Times New Roman" w:cs="Times New Roman"/>
          <w:sz w:val="20"/>
          <w:szCs w:val="20"/>
        </w:rPr>
        <w:fldChar w:fldCharType="separate"/>
      </w:r>
      <w:r>
        <w:rPr>
          <w:rFonts w:ascii="Times New Roman" w:hAnsi="Times New Roman" w:cs="Times New Roman"/>
          <w:sz w:val="20"/>
          <w:szCs w:val="20"/>
        </w:rPr>
        <w:t>161</w:t>
      </w:r>
      <w:r w:rsidRPr="00A04969">
        <w:rPr>
          <w:rFonts w:ascii="Times New Roman" w:hAnsi="Times New Roman" w:cs="Times New Roman"/>
          <w:sz w:val="20"/>
          <w:szCs w:val="20"/>
        </w:rPr>
        <w:fldChar w:fldCharType="end"/>
      </w:r>
      <w:r w:rsidRPr="00A04969">
        <w:rPr>
          <w:rFonts w:ascii="Times New Roman" w:hAnsi="Times New Roman" w:cs="Times New Roman"/>
          <w:sz w:val="20"/>
          <w:szCs w:val="20"/>
        </w:rPr>
        <w:t xml:space="preserve"> at 7.</w:t>
      </w:r>
    </w:p>
  </w:footnote>
  <w:footnote w:id="393">
    <w:p w14:paraId="3B9C132B" w14:textId="4D68F5E6" w:rsidR="00D43BBB" w:rsidRPr="00A04969" w:rsidRDefault="00D43BBB" w:rsidP="00E927B2">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proofErr w:type="gramStart"/>
      <w:r w:rsidRPr="00A04969">
        <w:rPr>
          <w:rFonts w:ascii="Times New Roman" w:hAnsi="Times New Roman" w:cs="Times New Roman"/>
          <w:color w:val="000000"/>
          <w:sz w:val="20"/>
          <w:szCs w:val="20"/>
        </w:rPr>
        <w:t xml:space="preserve">EPPR Recommended Prevention Practices, </w:t>
      </w:r>
      <w:r w:rsidRPr="00A04969">
        <w:rPr>
          <w:rFonts w:ascii="Times New Roman" w:hAnsi="Times New Roman" w:cs="Times New Roman"/>
          <w:i/>
          <w:color w:val="000000"/>
          <w:sz w:val="20"/>
          <w:szCs w:val="20"/>
        </w:rPr>
        <w:t>supra</w:t>
      </w:r>
      <w:r w:rsidRPr="00A04969">
        <w:rPr>
          <w:rFonts w:ascii="Times New Roman" w:hAnsi="Times New Roman" w:cs="Times New Roman"/>
          <w:color w:val="000000"/>
          <w:sz w:val="20"/>
          <w:szCs w:val="20"/>
        </w:rPr>
        <w:t xml:space="preserve"> n. </w:t>
      </w:r>
      <w:r w:rsidRPr="00A04969">
        <w:rPr>
          <w:rFonts w:ascii="Times New Roman" w:hAnsi="Times New Roman" w:cs="Times New Roman"/>
          <w:color w:val="000000"/>
          <w:sz w:val="20"/>
          <w:szCs w:val="20"/>
        </w:rPr>
        <w:fldChar w:fldCharType="begin"/>
      </w:r>
      <w:r w:rsidRPr="00A04969">
        <w:rPr>
          <w:rFonts w:ascii="Times New Roman" w:hAnsi="Times New Roman" w:cs="Times New Roman"/>
          <w:color w:val="000000"/>
          <w:sz w:val="20"/>
          <w:szCs w:val="20"/>
        </w:rPr>
        <w:instrText xml:space="preserve"> NOTEREF _Ref334009634 \h </w:instrText>
      </w:r>
      <w:r w:rsidRPr="00A04969">
        <w:rPr>
          <w:rFonts w:ascii="Times New Roman" w:hAnsi="Times New Roman" w:cs="Times New Roman"/>
          <w:color w:val="000000"/>
          <w:sz w:val="20"/>
          <w:szCs w:val="20"/>
        </w:rPr>
      </w:r>
      <w:r w:rsidRPr="00A04969">
        <w:rPr>
          <w:rFonts w:ascii="Times New Roman" w:hAnsi="Times New Roman" w:cs="Times New Roman"/>
          <w:color w:val="000000"/>
          <w:sz w:val="20"/>
          <w:szCs w:val="20"/>
        </w:rPr>
        <w:fldChar w:fldCharType="separate"/>
      </w:r>
      <w:r>
        <w:rPr>
          <w:rFonts w:ascii="Times New Roman" w:hAnsi="Times New Roman" w:cs="Times New Roman"/>
          <w:color w:val="000000"/>
          <w:sz w:val="20"/>
          <w:szCs w:val="20"/>
        </w:rPr>
        <w:t>361</w:t>
      </w:r>
      <w:r w:rsidRPr="00A04969">
        <w:rPr>
          <w:rFonts w:ascii="Times New Roman" w:hAnsi="Times New Roman" w:cs="Times New Roman"/>
          <w:color w:val="000000"/>
          <w:sz w:val="20"/>
          <w:szCs w:val="20"/>
        </w:rPr>
        <w:fldChar w:fldCharType="end"/>
      </w:r>
      <w:r w:rsidRPr="00A04969">
        <w:rPr>
          <w:rFonts w:ascii="Times New Roman" w:hAnsi="Times New Roman" w:cs="Times New Roman"/>
          <w:color w:val="000000"/>
          <w:sz w:val="20"/>
          <w:szCs w:val="20"/>
        </w:rPr>
        <w:t xml:space="preserve"> at 36.</w:t>
      </w:r>
      <w:proofErr w:type="gramEnd"/>
    </w:p>
  </w:footnote>
  <w:footnote w:id="394">
    <w:p w14:paraId="12DC0525" w14:textId="0A9E315B" w:rsidR="00D43BBB" w:rsidRPr="00A04969" w:rsidRDefault="00D43BBB">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Good Practices in Community Engagement and Readiness, </w:t>
      </w:r>
      <w:r w:rsidRPr="00A04969">
        <w:rPr>
          <w:rFonts w:ascii="Times New Roman" w:hAnsi="Times New Roman" w:cs="Times New Roman"/>
          <w:i/>
          <w:sz w:val="20"/>
          <w:szCs w:val="20"/>
        </w:rPr>
        <w:t>supra</w:t>
      </w:r>
      <w:r w:rsidRPr="00A04969">
        <w:rPr>
          <w:rFonts w:ascii="Times New Roman" w:hAnsi="Times New Roman" w:cs="Times New Roman"/>
          <w:sz w:val="20"/>
          <w:szCs w:val="20"/>
        </w:rPr>
        <w:t xml:space="preserve"> n. </w:t>
      </w:r>
      <w:r w:rsidRPr="00A04969">
        <w:rPr>
          <w:rFonts w:ascii="Times New Roman" w:hAnsi="Times New Roman" w:cs="Times New Roman"/>
          <w:sz w:val="20"/>
          <w:szCs w:val="20"/>
        </w:rPr>
        <w:fldChar w:fldCharType="begin"/>
      </w:r>
      <w:r w:rsidRPr="00A04969">
        <w:rPr>
          <w:rFonts w:ascii="Times New Roman" w:hAnsi="Times New Roman" w:cs="Times New Roman"/>
          <w:sz w:val="20"/>
          <w:szCs w:val="20"/>
        </w:rPr>
        <w:instrText xml:space="preserve"> NOTEREF _Ref334100176 \h </w:instrText>
      </w:r>
      <w:r w:rsidRPr="00A04969">
        <w:rPr>
          <w:rFonts w:ascii="Times New Roman" w:hAnsi="Times New Roman" w:cs="Times New Roman"/>
          <w:sz w:val="20"/>
          <w:szCs w:val="20"/>
        </w:rPr>
      </w:r>
      <w:r w:rsidRPr="00A04969">
        <w:rPr>
          <w:rFonts w:ascii="Times New Roman" w:hAnsi="Times New Roman" w:cs="Times New Roman"/>
          <w:sz w:val="20"/>
          <w:szCs w:val="20"/>
        </w:rPr>
        <w:fldChar w:fldCharType="separate"/>
      </w:r>
      <w:r>
        <w:rPr>
          <w:rFonts w:ascii="Times New Roman" w:hAnsi="Times New Roman" w:cs="Times New Roman"/>
          <w:sz w:val="20"/>
          <w:szCs w:val="20"/>
        </w:rPr>
        <w:t>87</w:t>
      </w:r>
      <w:r w:rsidRPr="00A04969">
        <w:rPr>
          <w:rFonts w:ascii="Times New Roman" w:hAnsi="Times New Roman" w:cs="Times New Roman"/>
          <w:sz w:val="20"/>
          <w:szCs w:val="20"/>
        </w:rPr>
        <w:fldChar w:fldCharType="end"/>
      </w:r>
      <w:r w:rsidRPr="00A04969">
        <w:rPr>
          <w:rFonts w:ascii="Times New Roman" w:hAnsi="Times New Roman" w:cs="Times New Roman"/>
          <w:sz w:val="20"/>
          <w:szCs w:val="20"/>
        </w:rPr>
        <w:t xml:space="preserve"> at 30.</w:t>
      </w:r>
    </w:p>
  </w:footnote>
  <w:footnote w:id="395">
    <w:p w14:paraId="3EB6DD46" w14:textId="65B05460" w:rsidR="00D43BBB" w:rsidRPr="00A04969" w:rsidRDefault="00D43BBB" w:rsidP="00E927B2">
      <w:pPr>
        <w:widowControl w:val="0"/>
        <w:autoSpaceDE w:val="0"/>
        <w:autoSpaceDN w:val="0"/>
        <w:adjustRightInd w:val="0"/>
        <w:rPr>
          <w:sz w:val="20"/>
          <w:szCs w:val="20"/>
          <w:lang w:val="en-US"/>
        </w:rPr>
      </w:pPr>
      <w:r w:rsidRPr="00A04969">
        <w:rPr>
          <w:rStyle w:val="FootnoteReference"/>
          <w:sz w:val="20"/>
          <w:szCs w:val="20"/>
        </w:rPr>
        <w:footnoteRef/>
      </w:r>
      <w:r w:rsidRPr="00A04969">
        <w:rPr>
          <w:sz w:val="20"/>
          <w:szCs w:val="20"/>
        </w:rPr>
        <w:t xml:space="preserve"> </w:t>
      </w:r>
      <w:proofErr w:type="gramStart"/>
      <w:r w:rsidRPr="00A04969">
        <w:rPr>
          <w:i/>
          <w:sz w:val="20"/>
          <w:szCs w:val="20"/>
        </w:rPr>
        <w:t>Id.</w:t>
      </w:r>
      <w:r w:rsidRPr="00A04969">
        <w:rPr>
          <w:sz w:val="20"/>
          <w:szCs w:val="20"/>
        </w:rPr>
        <w:t xml:space="preserve"> at 23.</w:t>
      </w:r>
      <w:proofErr w:type="gramEnd"/>
    </w:p>
  </w:footnote>
  <w:footnote w:id="396">
    <w:p w14:paraId="0157959D" w14:textId="28B4FDB8"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proofErr w:type="gramStart"/>
      <w:r w:rsidRPr="00A04969">
        <w:rPr>
          <w:rFonts w:ascii="Times New Roman" w:hAnsi="Times New Roman" w:cs="Times New Roman"/>
          <w:sz w:val="20"/>
          <w:szCs w:val="20"/>
        </w:rPr>
        <w:t xml:space="preserve">UNHRC 2010, </w:t>
      </w:r>
      <w:r w:rsidRPr="00A04969">
        <w:rPr>
          <w:rFonts w:ascii="Times New Roman" w:hAnsi="Times New Roman" w:cs="Times New Roman"/>
          <w:i/>
          <w:sz w:val="20"/>
          <w:szCs w:val="20"/>
        </w:rPr>
        <w:t>supra</w:t>
      </w:r>
      <w:r w:rsidRPr="00A04969">
        <w:rPr>
          <w:rFonts w:ascii="Times New Roman" w:hAnsi="Times New Roman" w:cs="Times New Roman"/>
          <w:sz w:val="20"/>
          <w:szCs w:val="20"/>
        </w:rPr>
        <w:t xml:space="preserve"> n. </w:t>
      </w:r>
      <w:r w:rsidRPr="00A04969">
        <w:rPr>
          <w:rFonts w:ascii="Times New Roman" w:hAnsi="Times New Roman" w:cs="Times New Roman"/>
          <w:sz w:val="20"/>
          <w:szCs w:val="20"/>
        </w:rPr>
        <w:fldChar w:fldCharType="begin"/>
      </w:r>
      <w:r w:rsidRPr="00A04969">
        <w:rPr>
          <w:rFonts w:ascii="Times New Roman" w:hAnsi="Times New Roman" w:cs="Times New Roman"/>
          <w:sz w:val="20"/>
          <w:szCs w:val="20"/>
        </w:rPr>
        <w:instrText xml:space="preserve"> NOTEREF _Ref334009661 \h </w:instrText>
      </w:r>
      <w:r w:rsidRPr="00A04969">
        <w:rPr>
          <w:rFonts w:ascii="Times New Roman" w:hAnsi="Times New Roman" w:cs="Times New Roman"/>
          <w:sz w:val="20"/>
          <w:szCs w:val="20"/>
        </w:rPr>
      </w:r>
      <w:r w:rsidRPr="00A04969">
        <w:rPr>
          <w:rFonts w:ascii="Times New Roman" w:hAnsi="Times New Roman" w:cs="Times New Roman"/>
          <w:sz w:val="20"/>
          <w:szCs w:val="20"/>
        </w:rPr>
        <w:fldChar w:fldCharType="separate"/>
      </w:r>
      <w:r>
        <w:rPr>
          <w:rFonts w:ascii="Times New Roman" w:hAnsi="Times New Roman" w:cs="Times New Roman"/>
          <w:sz w:val="20"/>
          <w:szCs w:val="20"/>
        </w:rPr>
        <w:t>373</w:t>
      </w:r>
      <w:r w:rsidRPr="00A04969">
        <w:rPr>
          <w:rFonts w:ascii="Times New Roman" w:hAnsi="Times New Roman" w:cs="Times New Roman"/>
          <w:sz w:val="20"/>
          <w:szCs w:val="20"/>
        </w:rPr>
        <w:fldChar w:fldCharType="end"/>
      </w:r>
      <w:r w:rsidRPr="00A04969">
        <w:rPr>
          <w:rFonts w:ascii="Times New Roman" w:hAnsi="Times New Roman" w:cs="Times New Roman"/>
          <w:sz w:val="20"/>
          <w:szCs w:val="20"/>
        </w:rPr>
        <w:t xml:space="preserve"> ¶ 79.</w:t>
      </w:r>
      <w:proofErr w:type="gramEnd"/>
    </w:p>
    <w:p w14:paraId="18135E70" w14:textId="7DF3A9A1"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43 U.S.C. § 1608(1</w:t>
      </w:r>
      <w:proofErr w:type="gramStart"/>
      <w:r w:rsidRPr="00A04969">
        <w:rPr>
          <w:rFonts w:ascii="Times New Roman" w:hAnsi="Times New Roman" w:cs="Times New Roman"/>
          <w:sz w:val="20"/>
          <w:szCs w:val="20"/>
        </w:rPr>
        <w:t>)(</w:t>
      </w:r>
      <w:proofErr w:type="gramEnd"/>
      <w:r w:rsidRPr="00A04969">
        <w:rPr>
          <w:rFonts w:ascii="Times New Roman" w:hAnsi="Times New Roman" w:cs="Times New Roman"/>
          <w:sz w:val="20"/>
          <w:szCs w:val="20"/>
        </w:rPr>
        <w:t>b).</w:t>
      </w:r>
    </w:p>
  </w:footnote>
  <w:footnote w:id="397">
    <w:p w14:paraId="6127480F" w14:textId="61CE7514"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AMAP Arctic Oil and Gas, </w:t>
      </w:r>
      <w:r w:rsidRPr="00A04969">
        <w:rPr>
          <w:rFonts w:ascii="Times New Roman" w:hAnsi="Times New Roman" w:cs="Times New Roman"/>
          <w:i/>
          <w:sz w:val="20"/>
          <w:szCs w:val="20"/>
        </w:rPr>
        <w:t>supra</w:t>
      </w:r>
      <w:r w:rsidRPr="00A04969">
        <w:rPr>
          <w:rFonts w:ascii="Times New Roman" w:hAnsi="Times New Roman" w:cs="Times New Roman"/>
          <w:sz w:val="20"/>
          <w:szCs w:val="20"/>
        </w:rPr>
        <w:t xml:space="preserve"> n. </w:t>
      </w:r>
      <w:r w:rsidRPr="00A04969">
        <w:rPr>
          <w:rFonts w:ascii="Times New Roman" w:hAnsi="Times New Roman" w:cs="Times New Roman"/>
          <w:sz w:val="20"/>
          <w:szCs w:val="20"/>
        </w:rPr>
        <w:fldChar w:fldCharType="begin"/>
      </w:r>
      <w:r w:rsidRPr="00A04969">
        <w:rPr>
          <w:rFonts w:ascii="Times New Roman" w:hAnsi="Times New Roman" w:cs="Times New Roman"/>
          <w:sz w:val="20"/>
          <w:szCs w:val="20"/>
        </w:rPr>
        <w:instrText xml:space="preserve"> NOTEREF _Ref333994849 \h </w:instrText>
      </w:r>
      <w:r w:rsidRPr="00A04969">
        <w:rPr>
          <w:rFonts w:ascii="Times New Roman" w:hAnsi="Times New Roman" w:cs="Times New Roman"/>
          <w:sz w:val="20"/>
          <w:szCs w:val="20"/>
        </w:rPr>
      </w:r>
      <w:r w:rsidRPr="00A04969">
        <w:rPr>
          <w:rFonts w:ascii="Times New Roman" w:hAnsi="Times New Roman" w:cs="Times New Roman"/>
          <w:sz w:val="20"/>
          <w:szCs w:val="20"/>
        </w:rPr>
        <w:fldChar w:fldCharType="separate"/>
      </w:r>
      <w:r>
        <w:rPr>
          <w:rFonts w:ascii="Times New Roman" w:hAnsi="Times New Roman" w:cs="Times New Roman"/>
          <w:sz w:val="20"/>
          <w:szCs w:val="20"/>
        </w:rPr>
        <w:t>78</w:t>
      </w:r>
      <w:r w:rsidRPr="00A04969">
        <w:rPr>
          <w:rFonts w:ascii="Times New Roman" w:hAnsi="Times New Roman" w:cs="Times New Roman"/>
          <w:sz w:val="20"/>
          <w:szCs w:val="20"/>
        </w:rPr>
        <w:fldChar w:fldCharType="end"/>
      </w:r>
      <w:r w:rsidRPr="00A04969">
        <w:rPr>
          <w:rFonts w:ascii="Times New Roman" w:hAnsi="Times New Roman" w:cs="Times New Roman"/>
          <w:sz w:val="20"/>
          <w:szCs w:val="20"/>
        </w:rPr>
        <w:t xml:space="preserve"> at </w:t>
      </w:r>
      <w:proofErr w:type="gramStart"/>
      <w:r w:rsidRPr="00A04969">
        <w:rPr>
          <w:rFonts w:ascii="Times New Roman" w:hAnsi="Times New Roman" w:cs="Times New Roman"/>
          <w:sz w:val="20"/>
          <w:szCs w:val="20"/>
        </w:rPr>
        <w:t>vi</w:t>
      </w:r>
      <w:proofErr w:type="gramEnd"/>
      <w:r w:rsidRPr="00A04969">
        <w:rPr>
          <w:rFonts w:ascii="Times New Roman" w:hAnsi="Times New Roman" w:cs="Times New Roman"/>
          <w:sz w:val="20"/>
          <w:szCs w:val="20"/>
        </w:rPr>
        <w:t xml:space="preserve">. </w:t>
      </w:r>
      <w:r w:rsidRPr="00A04969">
        <w:rPr>
          <w:rFonts w:ascii="Times New Roman" w:hAnsi="Times New Roman" w:cs="Times New Roman"/>
          <w:i/>
          <w:sz w:val="20"/>
          <w:szCs w:val="20"/>
        </w:rPr>
        <w:t>See also</w:t>
      </w:r>
      <w:r w:rsidRPr="00A04969">
        <w:rPr>
          <w:rFonts w:ascii="Times New Roman" w:hAnsi="Times New Roman" w:cs="Times New Roman"/>
          <w:sz w:val="20"/>
          <w:szCs w:val="20"/>
        </w:rPr>
        <w:t xml:space="preserve"> AMAP, Oil and Gas Activities in the Arctic at 7-15 (2007) (encouraging consultations to harness economic and other opportunities). </w:t>
      </w:r>
    </w:p>
  </w:footnote>
  <w:footnote w:id="398">
    <w:p w14:paraId="7C88F252" w14:textId="33A1E9B5" w:rsidR="00D43BBB" w:rsidRPr="00A04969" w:rsidRDefault="00D43BBB" w:rsidP="002420B7">
      <w:pPr>
        <w:widowControl w:val="0"/>
        <w:autoSpaceDE w:val="0"/>
        <w:autoSpaceDN w:val="0"/>
        <w:adjustRightInd w:val="0"/>
        <w:rPr>
          <w:sz w:val="20"/>
          <w:szCs w:val="20"/>
          <w:lang w:val="en-US"/>
        </w:rPr>
      </w:pPr>
      <w:r w:rsidRPr="00A04969">
        <w:rPr>
          <w:rStyle w:val="FootnoteReference"/>
          <w:sz w:val="20"/>
          <w:szCs w:val="20"/>
        </w:rPr>
        <w:footnoteRef/>
      </w:r>
      <w:r w:rsidRPr="00A04969">
        <w:rPr>
          <w:sz w:val="20"/>
          <w:szCs w:val="20"/>
        </w:rPr>
        <w:t xml:space="preserve"> Peters, E. Organizational </w:t>
      </w:r>
      <w:r w:rsidRPr="00A04969">
        <w:rPr>
          <w:bCs/>
          <w:sz w:val="20"/>
          <w:szCs w:val="20"/>
          <w:lang w:val="en-US"/>
        </w:rPr>
        <w:t xml:space="preserve">Design for Co-Management: Comparing Four Committees in Nunavik, 44 Les Cahiers de Droit 4, 667, 669 (2003). </w:t>
      </w:r>
    </w:p>
  </w:footnote>
  <w:footnote w:id="399">
    <w:p w14:paraId="41F8D844" w14:textId="2E70ABAB" w:rsidR="00D43BBB" w:rsidRPr="00A04969" w:rsidRDefault="00D43BBB" w:rsidP="002420B7">
      <w:pPr>
        <w:rPr>
          <w:rFonts w:eastAsia="Times New Roman"/>
          <w:color w:val="000000"/>
          <w:sz w:val="20"/>
          <w:szCs w:val="20"/>
          <w:lang w:val="en-US"/>
        </w:rPr>
      </w:pPr>
      <w:r w:rsidRPr="00A04969">
        <w:rPr>
          <w:rStyle w:val="FootnoteReference"/>
          <w:sz w:val="20"/>
          <w:szCs w:val="20"/>
        </w:rPr>
        <w:footnoteRef/>
      </w:r>
      <w:r w:rsidRPr="00A04969">
        <w:rPr>
          <w:sz w:val="20"/>
          <w:szCs w:val="20"/>
        </w:rPr>
        <w:t xml:space="preserve"> </w:t>
      </w:r>
      <w:proofErr w:type="gramStart"/>
      <w:r w:rsidRPr="00A04969">
        <w:rPr>
          <w:sz w:val="20"/>
          <w:szCs w:val="20"/>
        </w:rPr>
        <w:t xml:space="preserve">Armitage, supra n. </w:t>
      </w:r>
      <w:r w:rsidRPr="00A04969">
        <w:rPr>
          <w:sz w:val="20"/>
          <w:szCs w:val="20"/>
        </w:rPr>
        <w:fldChar w:fldCharType="begin"/>
      </w:r>
      <w:r w:rsidRPr="00A04969">
        <w:rPr>
          <w:sz w:val="20"/>
          <w:szCs w:val="20"/>
        </w:rPr>
        <w:instrText xml:space="preserve"> NOTEREF _Ref334009750 \h </w:instrText>
      </w:r>
      <w:r w:rsidRPr="00A04969">
        <w:rPr>
          <w:sz w:val="20"/>
          <w:szCs w:val="20"/>
        </w:rPr>
      </w:r>
      <w:r w:rsidRPr="00A04969">
        <w:rPr>
          <w:sz w:val="20"/>
          <w:szCs w:val="20"/>
        </w:rPr>
        <w:fldChar w:fldCharType="separate"/>
      </w:r>
      <w:r>
        <w:rPr>
          <w:sz w:val="20"/>
          <w:szCs w:val="20"/>
        </w:rPr>
        <w:t>250</w:t>
      </w:r>
      <w:r w:rsidRPr="00A04969">
        <w:rPr>
          <w:sz w:val="20"/>
          <w:szCs w:val="20"/>
        </w:rPr>
        <w:fldChar w:fldCharType="end"/>
      </w:r>
      <w:r w:rsidRPr="00A04969">
        <w:rPr>
          <w:sz w:val="20"/>
          <w:szCs w:val="20"/>
        </w:rPr>
        <w:t xml:space="preserve"> </w:t>
      </w:r>
      <w:r w:rsidRPr="00A04969">
        <w:rPr>
          <w:rFonts w:eastAsia="Times New Roman"/>
          <w:color w:val="000000"/>
          <w:sz w:val="20"/>
          <w:szCs w:val="20"/>
          <w:lang w:val="en-US"/>
        </w:rPr>
        <w:t>at 1002.</w:t>
      </w:r>
      <w:proofErr w:type="gramEnd"/>
    </w:p>
  </w:footnote>
  <w:footnote w:id="400">
    <w:p w14:paraId="2A0E4AF8" w14:textId="5725F754"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UNDRIP art. 15.</w:t>
      </w:r>
    </w:p>
  </w:footnote>
  <w:footnote w:id="401">
    <w:p w14:paraId="50DE929F" w14:textId="5ABD4F9E" w:rsidR="00D43BBB" w:rsidRPr="00A04969" w:rsidRDefault="00D43BBB">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proofErr w:type="gramStart"/>
      <w:r w:rsidRPr="00A04969">
        <w:rPr>
          <w:rFonts w:ascii="Times New Roman" w:hAnsi="Times New Roman" w:cs="Times New Roman"/>
          <w:sz w:val="20"/>
          <w:szCs w:val="20"/>
        </w:rPr>
        <w:t>UNEP, Rio Declaration on Environment and Development, Principle 22 (1992).</w:t>
      </w:r>
      <w:proofErr w:type="gramEnd"/>
    </w:p>
  </w:footnote>
  <w:footnote w:id="402">
    <w:p w14:paraId="1202FA76" w14:textId="2B8B0698"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r w:rsidRPr="00A04969">
        <w:rPr>
          <w:rFonts w:ascii="Times New Roman" w:hAnsi="Times New Roman" w:cs="Times New Roman"/>
          <w:bCs/>
          <w:sz w:val="20"/>
          <w:szCs w:val="20"/>
        </w:rPr>
        <w:t>Nunavut Land Claims Agreement.</w:t>
      </w:r>
    </w:p>
  </w:footnote>
  <w:footnote w:id="403">
    <w:p w14:paraId="5DC34ACD" w14:textId="004A8F9A" w:rsidR="00D43BBB" w:rsidRPr="00A04969" w:rsidRDefault="00D43BBB" w:rsidP="002420B7">
      <w:pPr>
        <w:widowControl w:val="0"/>
        <w:autoSpaceDE w:val="0"/>
        <w:autoSpaceDN w:val="0"/>
        <w:adjustRightInd w:val="0"/>
        <w:rPr>
          <w:sz w:val="20"/>
          <w:szCs w:val="20"/>
          <w:lang w:val="en-US"/>
        </w:rPr>
      </w:pPr>
      <w:r w:rsidRPr="00A04969">
        <w:rPr>
          <w:rStyle w:val="FootnoteReference"/>
          <w:sz w:val="20"/>
          <w:szCs w:val="20"/>
        </w:rPr>
        <w:footnoteRef/>
      </w:r>
      <w:r w:rsidRPr="00A04969">
        <w:rPr>
          <w:sz w:val="20"/>
          <w:szCs w:val="20"/>
        </w:rPr>
        <w:t xml:space="preserve"> </w:t>
      </w:r>
      <w:r w:rsidRPr="00A04969">
        <w:rPr>
          <w:sz w:val="20"/>
          <w:szCs w:val="20"/>
          <w:lang w:val="en-US"/>
        </w:rPr>
        <w:t xml:space="preserve">Memorandum of Agreement for Negotiation of Marine Mammal Protection Act </w:t>
      </w:r>
      <w:r w:rsidRPr="00A04969">
        <w:rPr>
          <w:sz w:val="20"/>
          <w:szCs w:val="20"/>
        </w:rPr>
        <w:t>§</w:t>
      </w:r>
      <w:r w:rsidRPr="00A04969">
        <w:rPr>
          <w:position w:val="-3"/>
          <w:sz w:val="20"/>
          <w:szCs w:val="20"/>
          <w:lang w:val="en-US"/>
        </w:rPr>
        <w:t xml:space="preserve"> </w:t>
      </w:r>
      <w:r w:rsidRPr="00A04969">
        <w:rPr>
          <w:bCs/>
          <w:sz w:val="20"/>
          <w:szCs w:val="20"/>
          <w:lang w:val="en-US"/>
        </w:rPr>
        <w:t>119</w:t>
      </w:r>
      <w:r w:rsidRPr="00A04969">
        <w:rPr>
          <w:b/>
          <w:bCs/>
          <w:sz w:val="20"/>
          <w:szCs w:val="20"/>
          <w:lang w:val="en-US"/>
        </w:rPr>
        <w:t xml:space="preserve"> </w:t>
      </w:r>
      <w:r w:rsidRPr="00A04969">
        <w:rPr>
          <w:sz w:val="20"/>
          <w:szCs w:val="20"/>
          <w:lang w:val="en-US"/>
        </w:rPr>
        <w:t xml:space="preserve">Agreements Among the </w:t>
      </w:r>
      <w:r w:rsidRPr="00A04969">
        <w:rPr>
          <w:bCs/>
          <w:sz w:val="20"/>
          <w:szCs w:val="20"/>
          <w:lang w:val="en-US"/>
        </w:rPr>
        <w:t xml:space="preserve">U.S. </w:t>
      </w:r>
      <w:r w:rsidRPr="00A04969">
        <w:rPr>
          <w:sz w:val="20"/>
          <w:szCs w:val="20"/>
          <w:lang w:val="en-US"/>
        </w:rPr>
        <w:t xml:space="preserve">Department of Commerce, National Marine Fisheries Service, </w:t>
      </w:r>
      <w:r w:rsidRPr="00A04969">
        <w:rPr>
          <w:bCs/>
          <w:sz w:val="20"/>
          <w:szCs w:val="20"/>
          <w:lang w:val="en-US"/>
        </w:rPr>
        <w:t>U.S.</w:t>
      </w:r>
      <w:r w:rsidRPr="00A04969">
        <w:rPr>
          <w:b/>
          <w:bCs/>
          <w:sz w:val="20"/>
          <w:szCs w:val="20"/>
          <w:lang w:val="en-US"/>
        </w:rPr>
        <w:t xml:space="preserve"> </w:t>
      </w:r>
      <w:r w:rsidRPr="00A04969">
        <w:rPr>
          <w:sz w:val="20"/>
          <w:szCs w:val="20"/>
          <w:lang w:val="en-US"/>
        </w:rPr>
        <w:t xml:space="preserve">Department of Interior, Fish and Wildlife Service, and </w:t>
      </w:r>
      <w:r w:rsidRPr="00A04969">
        <w:rPr>
          <w:position w:val="2"/>
          <w:sz w:val="20"/>
          <w:szCs w:val="20"/>
          <w:lang w:val="en-US"/>
        </w:rPr>
        <w:t xml:space="preserve">the </w:t>
      </w:r>
      <w:r w:rsidRPr="00A04969">
        <w:rPr>
          <w:sz w:val="20"/>
          <w:szCs w:val="20"/>
          <w:lang w:val="en-US"/>
        </w:rPr>
        <w:t xml:space="preserve">Indigenous Peoples' Council for Marine Mammals </w:t>
      </w:r>
      <w:r w:rsidRPr="00A04969">
        <w:rPr>
          <w:bCs/>
          <w:sz w:val="20"/>
          <w:szCs w:val="20"/>
          <w:lang w:val="en-US"/>
        </w:rPr>
        <w:t>(2006).</w:t>
      </w:r>
    </w:p>
  </w:footnote>
  <w:footnote w:id="404">
    <w:p w14:paraId="3379889F" w14:textId="51C050BA"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proofErr w:type="gramStart"/>
      <w:r w:rsidRPr="00A04969">
        <w:rPr>
          <w:rFonts w:ascii="Times New Roman" w:hAnsi="Times New Roman" w:cs="Times New Roman"/>
          <w:sz w:val="20"/>
          <w:szCs w:val="20"/>
        </w:rPr>
        <w:t xml:space="preserve">PAME Offshore Oil and Gas, </w:t>
      </w:r>
      <w:r w:rsidRPr="00A04969">
        <w:rPr>
          <w:rFonts w:ascii="Times New Roman" w:hAnsi="Times New Roman" w:cs="Times New Roman"/>
          <w:i/>
          <w:sz w:val="20"/>
          <w:szCs w:val="20"/>
        </w:rPr>
        <w:t>supra</w:t>
      </w:r>
      <w:r w:rsidRPr="00A04969">
        <w:rPr>
          <w:rFonts w:ascii="Times New Roman" w:hAnsi="Times New Roman" w:cs="Times New Roman"/>
          <w:sz w:val="20"/>
          <w:szCs w:val="20"/>
        </w:rPr>
        <w:t xml:space="preserve"> n. </w:t>
      </w:r>
      <w:r w:rsidRPr="00A04969">
        <w:rPr>
          <w:rFonts w:ascii="Times New Roman" w:hAnsi="Times New Roman" w:cs="Times New Roman"/>
          <w:sz w:val="20"/>
          <w:szCs w:val="20"/>
        </w:rPr>
        <w:fldChar w:fldCharType="begin"/>
      </w:r>
      <w:r w:rsidRPr="00A04969">
        <w:rPr>
          <w:rFonts w:ascii="Times New Roman" w:hAnsi="Times New Roman" w:cs="Times New Roman"/>
          <w:sz w:val="20"/>
          <w:szCs w:val="20"/>
        </w:rPr>
        <w:instrText xml:space="preserve"> NOTEREF _Ref333994849 \h </w:instrText>
      </w:r>
      <w:r w:rsidRPr="00A04969">
        <w:rPr>
          <w:rFonts w:ascii="Times New Roman" w:hAnsi="Times New Roman" w:cs="Times New Roman"/>
          <w:sz w:val="20"/>
          <w:szCs w:val="20"/>
        </w:rPr>
      </w:r>
      <w:r w:rsidRPr="00A04969">
        <w:rPr>
          <w:rFonts w:ascii="Times New Roman" w:hAnsi="Times New Roman" w:cs="Times New Roman"/>
          <w:sz w:val="20"/>
          <w:szCs w:val="20"/>
        </w:rPr>
        <w:fldChar w:fldCharType="separate"/>
      </w:r>
      <w:r>
        <w:rPr>
          <w:rFonts w:ascii="Times New Roman" w:hAnsi="Times New Roman" w:cs="Times New Roman"/>
          <w:sz w:val="20"/>
          <w:szCs w:val="20"/>
        </w:rPr>
        <w:t>78</w:t>
      </w:r>
      <w:r w:rsidRPr="00A04969">
        <w:rPr>
          <w:rFonts w:ascii="Times New Roman" w:hAnsi="Times New Roman" w:cs="Times New Roman"/>
          <w:sz w:val="20"/>
          <w:szCs w:val="20"/>
        </w:rPr>
        <w:fldChar w:fldCharType="end"/>
      </w:r>
      <w:r w:rsidRPr="00A04969">
        <w:rPr>
          <w:rFonts w:ascii="Times New Roman" w:hAnsi="Times New Roman" w:cs="Times New Roman"/>
          <w:sz w:val="20"/>
          <w:szCs w:val="20"/>
        </w:rPr>
        <w:t xml:space="preserve"> at 12.</w:t>
      </w:r>
      <w:proofErr w:type="gramEnd"/>
    </w:p>
  </w:footnote>
  <w:footnote w:id="405">
    <w:p w14:paraId="631789E8" w14:textId="6AF9D32B"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proofErr w:type="gramStart"/>
      <w:r w:rsidRPr="00A04969">
        <w:rPr>
          <w:rFonts w:ascii="Times New Roman" w:hAnsi="Times New Roman" w:cs="Times New Roman"/>
          <w:sz w:val="20"/>
          <w:szCs w:val="20"/>
        </w:rPr>
        <w:t>Collaborative Research Agreement between the North Slope Borough and Shell Exploration &amp; Production Company (2010).</w:t>
      </w:r>
      <w:proofErr w:type="gramEnd"/>
      <w:r w:rsidRPr="00A04969">
        <w:rPr>
          <w:rFonts w:ascii="Times New Roman" w:hAnsi="Times New Roman" w:cs="Times New Roman"/>
          <w:sz w:val="20"/>
          <w:szCs w:val="20"/>
        </w:rPr>
        <w:t xml:space="preserve">  </w:t>
      </w:r>
    </w:p>
  </w:footnote>
  <w:footnote w:id="406">
    <w:p w14:paraId="2D8B9752" w14:textId="0128DD80" w:rsidR="00D43BBB" w:rsidRPr="00A04969" w:rsidRDefault="00D43BBB" w:rsidP="002420B7">
      <w:pPr>
        <w:pStyle w:val="FootnoteText"/>
        <w:rPr>
          <w:rFonts w:ascii="Times New Roman" w:hAnsi="Times New Roman" w:cs="Times New Roman"/>
          <w:sz w:val="20"/>
          <w:szCs w:val="20"/>
          <w:lang w:val="en-CA"/>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Berkes, F., et al, </w:t>
      </w:r>
      <w:r w:rsidRPr="00A04969">
        <w:rPr>
          <w:rFonts w:ascii="Times New Roman" w:hAnsi="Times New Roman" w:cs="Times New Roman"/>
          <w:i/>
          <w:sz w:val="20"/>
          <w:szCs w:val="20"/>
        </w:rPr>
        <w:t>The Canadian Arctic and the Oceans Act: the Development of Participatory Environmental Research and Management</w:t>
      </w:r>
      <w:r w:rsidRPr="00A04969">
        <w:rPr>
          <w:rFonts w:ascii="Times New Roman" w:hAnsi="Times New Roman" w:cs="Times New Roman"/>
          <w:sz w:val="20"/>
          <w:szCs w:val="20"/>
        </w:rPr>
        <w:t xml:space="preserve">, 44 Ocean &amp; Coastal Management 451, 452 (2001). </w:t>
      </w:r>
    </w:p>
  </w:footnote>
  <w:footnote w:id="407">
    <w:p w14:paraId="0070615E" w14:textId="0616AA7A" w:rsidR="00D43BBB" w:rsidRPr="00A04969" w:rsidRDefault="00D43BBB" w:rsidP="002420B7">
      <w:pPr>
        <w:widowControl w:val="0"/>
        <w:autoSpaceDE w:val="0"/>
        <w:autoSpaceDN w:val="0"/>
        <w:adjustRightInd w:val="0"/>
        <w:rPr>
          <w:sz w:val="20"/>
          <w:szCs w:val="20"/>
          <w:lang w:val="en-US"/>
        </w:rPr>
      </w:pPr>
      <w:r w:rsidRPr="00A04969">
        <w:rPr>
          <w:rStyle w:val="FootnoteReference"/>
          <w:sz w:val="20"/>
          <w:szCs w:val="20"/>
        </w:rPr>
        <w:footnoteRef/>
      </w:r>
      <w:r w:rsidRPr="00A04969">
        <w:rPr>
          <w:sz w:val="20"/>
          <w:szCs w:val="20"/>
        </w:rPr>
        <w:t xml:space="preserve"> Scott, C. </w:t>
      </w:r>
      <w:r w:rsidRPr="00A04969">
        <w:rPr>
          <w:i/>
          <w:sz w:val="20"/>
          <w:szCs w:val="20"/>
          <w:lang w:val="en-US"/>
        </w:rPr>
        <w:t>Co-Management and the Politics of Aboriginal Consent to Resource Development:</w:t>
      </w:r>
      <w:r w:rsidRPr="00A04969">
        <w:rPr>
          <w:sz w:val="20"/>
          <w:szCs w:val="20"/>
          <w:lang w:val="en-US"/>
        </w:rPr>
        <w:t xml:space="preserve"> The </w:t>
      </w:r>
      <w:r w:rsidRPr="00A04969">
        <w:rPr>
          <w:i/>
          <w:iCs/>
          <w:sz w:val="20"/>
          <w:szCs w:val="20"/>
          <w:lang w:val="en-US"/>
        </w:rPr>
        <w:t xml:space="preserve">Agreement Concerning a New Relationship between Le Gouvernement du Québec and the Crees of Québec </w:t>
      </w:r>
      <w:r w:rsidRPr="00A04969">
        <w:rPr>
          <w:sz w:val="20"/>
          <w:szCs w:val="20"/>
          <w:lang w:val="en-US"/>
        </w:rPr>
        <w:t xml:space="preserve">(2002) in, </w:t>
      </w:r>
      <w:r w:rsidRPr="00A04969">
        <w:rPr>
          <w:bCs/>
          <w:sz w:val="20"/>
          <w:szCs w:val="20"/>
          <w:lang w:val="en-US"/>
        </w:rPr>
        <w:t>Canada: The State of the Federation: Reconfiguring Aboriginal- State Relations at 134 (</w:t>
      </w:r>
      <w:r w:rsidRPr="00A04969">
        <w:rPr>
          <w:sz w:val="20"/>
          <w:szCs w:val="20"/>
          <w:lang w:val="en-US"/>
        </w:rPr>
        <w:t>Murphy, M., ed.</w:t>
      </w:r>
      <w:r w:rsidRPr="00A04969">
        <w:rPr>
          <w:bCs/>
          <w:sz w:val="20"/>
          <w:szCs w:val="20"/>
          <w:lang w:val="en-US"/>
        </w:rPr>
        <w:t xml:space="preserve"> 2005).</w:t>
      </w:r>
    </w:p>
  </w:footnote>
  <w:footnote w:id="408">
    <w:p w14:paraId="6D2C51B1" w14:textId="0C48D3FE"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proofErr w:type="gramStart"/>
      <w:r w:rsidRPr="00A04969">
        <w:rPr>
          <w:rFonts w:ascii="Times New Roman" w:hAnsi="Times New Roman" w:cs="Times New Roman"/>
          <w:sz w:val="20"/>
          <w:szCs w:val="20"/>
        </w:rPr>
        <w:t xml:space="preserve">Peters, </w:t>
      </w:r>
      <w:r w:rsidRPr="00A04969">
        <w:rPr>
          <w:rFonts w:ascii="Times New Roman" w:hAnsi="Times New Roman" w:cs="Times New Roman"/>
          <w:i/>
          <w:sz w:val="20"/>
          <w:szCs w:val="20"/>
        </w:rPr>
        <w:t>supra</w:t>
      </w:r>
      <w:r w:rsidRPr="00A04969">
        <w:rPr>
          <w:rFonts w:ascii="Times New Roman" w:hAnsi="Times New Roman" w:cs="Times New Roman"/>
          <w:sz w:val="20"/>
          <w:szCs w:val="20"/>
        </w:rPr>
        <w:t xml:space="preserve"> n. </w:t>
      </w:r>
      <w:r w:rsidRPr="00A04969">
        <w:rPr>
          <w:rFonts w:ascii="Times New Roman" w:hAnsi="Times New Roman" w:cs="Times New Roman"/>
          <w:sz w:val="20"/>
          <w:szCs w:val="20"/>
        </w:rPr>
        <w:fldChar w:fldCharType="begin"/>
      </w:r>
      <w:r w:rsidRPr="00A04969">
        <w:rPr>
          <w:rFonts w:ascii="Times New Roman" w:hAnsi="Times New Roman" w:cs="Times New Roman"/>
          <w:sz w:val="20"/>
          <w:szCs w:val="20"/>
        </w:rPr>
        <w:instrText xml:space="preserve"> NOTEREF _Ref334009836 \h </w:instrText>
      </w:r>
      <w:r w:rsidRPr="00A04969">
        <w:rPr>
          <w:rFonts w:ascii="Times New Roman" w:hAnsi="Times New Roman" w:cs="Times New Roman"/>
          <w:sz w:val="20"/>
          <w:szCs w:val="20"/>
        </w:rPr>
      </w:r>
      <w:r w:rsidRPr="00A04969">
        <w:rPr>
          <w:rFonts w:ascii="Times New Roman" w:hAnsi="Times New Roman" w:cs="Times New Roman"/>
          <w:sz w:val="20"/>
          <w:szCs w:val="20"/>
        </w:rPr>
        <w:fldChar w:fldCharType="separate"/>
      </w:r>
      <w:r>
        <w:rPr>
          <w:rFonts w:ascii="Times New Roman" w:hAnsi="Times New Roman" w:cs="Times New Roman"/>
          <w:sz w:val="20"/>
          <w:szCs w:val="20"/>
        </w:rPr>
        <w:t>397</w:t>
      </w:r>
      <w:r w:rsidRPr="00A04969">
        <w:rPr>
          <w:rFonts w:ascii="Times New Roman" w:hAnsi="Times New Roman" w:cs="Times New Roman"/>
          <w:sz w:val="20"/>
          <w:szCs w:val="20"/>
        </w:rPr>
        <w:fldChar w:fldCharType="end"/>
      </w:r>
      <w:r w:rsidRPr="00A04969">
        <w:rPr>
          <w:rFonts w:ascii="Times New Roman" w:hAnsi="Times New Roman" w:cs="Times New Roman"/>
          <w:sz w:val="20"/>
          <w:szCs w:val="20"/>
        </w:rPr>
        <w:t xml:space="preserve"> at </w:t>
      </w:r>
      <w:r w:rsidRPr="00A04969">
        <w:rPr>
          <w:rFonts w:ascii="Times New Roman" w:hAnsi="Times New Roman" w:cs="Times New Roman"/>
          <w:bCs/>
          <w:sz w:val="20"/>
          <w:szCs w:val="20"/>
        </w:rPr>
        <w:t>673.</w:t>
      </w:r>
      <w:proofErr w:type="gramEnd"/>
    </w:p>
  </w:footnote>
  <w:footnote w:id="409">
    <w:p w14:paraId="2C819589" w14:textId="340762AB"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proofErr w:type="gramStart"/>
      <w:r w:rsidRPr="00A04969">
        <w:rPr>
          <w:rFonts w:ascii="Times New Roman" w:hAnsi="Times New Roman" w:cs="Times New Roman"/>
          <w:sz w:val="20"/>
          <w:szCs w:val="20"/>
        </w:rPr>
        <w:t>16 U.S.C. § 1388.</w:t>
      </w:r>
      <w:proofErr w:type="gramEnd"/>
    </w:p>
  </w:footnote>
  <w:footnote w:id="410">
    <w:p w14:paraId="02528469" w14:textId="50642A30"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proofErr w:type="gramStart"/>
      <w:r w:rsidRPr="00A04969">
        <w:rPr>
          <w:rFonts w:ascii="Times New Roman" w:hAnsi="Times New Roman" w:cs="Times New Roman"/>
          <w:sz w:val="20"/>
          <w:szCs w:val="20"/>
        </w:rPr>
        <w:t xml:space="preserve">Kimmel, </w:t>
      </w:r>
      <w:r w:rsidRPr="00A04969">
        <w:rPr>
          <w:rFonts w:ascii="Times New Roman" w:hAnsi="Times New Roman" w:cs="Times New Roman"/>
          <w:i/>
          <w:sz w:val="20"/>
          <w:szCs w:val="20"/>
        </w:rPr>
        <w:t>supra</w:t>
      </w:r>
      <w:r w:rsidRPr="00A04969">
        <w:rPr>
          <w:rFonts w:ascii="Times New Roman" w:hAnsi="Times New Roman" w:cs="Times New Roman"/>
          <w:sz w:val="20"/>
          <w:szCs w:val="20"/>
        </w:rPr>
        <w:t xml:space="preserve"> n. </w:t>
      </w:r>
      <w:r w:rsidRPr="00A04969">
        <w:rPr>
          <w:rFonts w:ascii="Times New Roman" w:hAnsi="Times New Roman" w:cs="Times New Roman"/>
          <w:sz w:val="20"/>
          <w:szCs w:val="20"/>
        </w:rPr>
        <w:fldChar w:fldCharType="begin"/>
      </w:r>
      <w:r w:rsidRPr="00A04969">
        <w:rPr>
          <w:rFonts w:ascii="Times New Roman" w:hAnsi="Times New Roman" w:cs="Times New Roman"/>
          <w:sz w:val="20"/>
          <w:szCs w:val="20"/>
        </w:rPr>
        <w:instrText xml:space="preserve"> NOTEREF _Ref334009876 \h </w:instrText>
      </w:r>
      <w:r w:rsidRPr="00A04969">
        <w:rPr>
          <w:rFonts w:ascii="Times New Roman" w:hAnsi="Times New Roman" w:cs="Times New Roman"/>
          <w:sz w:val="20"/>
          <w:szCs w:val="20"/>
        </w:rPr>
      </w:r>
      <w:r w:rsidRPr="00A04969">
        <w:rPr>
          <w:rFonts w:ascii="Times New Roman" w:hAnsi="Times New Roman" w:cs="Times New Roman"/>
          <w:sz w:val="20"/>
          <w:szCs w:val="20"/>
        </w:rPr>
        <w:fldChar w:fldCharType="separate"/>
      </w:r>
      <w:r>
        <w:rPr>
          <w:rFonts w:ascii="Times New Roman" w:hAnsi="Times New Roman" w:cs="Times New Roman"/>
          <w:sz w:val="20"/>
          <w:szCs w:val="20"/>
        </w:rPr>
        <w:t>252</w:t>
      </w:r>
      <w:r w:rsidRPr="00A04969">
        <w:rPr>
          <w:rFonts w:ascii="Times New Roman" w:hAnsi="Times New Roman" w:cs="Times New Roman"/>
          <w:sz w:val="20"/>
          <w:szCs w:val="20"/>
        </w:rPr>
        <w:fldChar w:fldCharType="end"/>
      </w:r>
      <w:r w:rsidRPr="00A04969">
        <w:rPr>
          <w:rFonts w:ascii="Times New Roman" w:hAnsi="Times New Roman" w:cs="Times New Roman"/>
          <w:sz w:val="20"/>
          <w:szCs w:val="20"/>
        </w:rPr>
        <w:t xml:space="preserve"> at 193.</w:t>
      </w:r>
      <w:proofErr w:type="gramEnd"/>
    </w:p>
  </w:footnote>
  <w:footnote w:id="411">
    <w:p w14:paraId="0EBE542B" w14:textId="22647DD5"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proofErr w:type="gramStart"/>
      <w:r w:rsidRPr="00A04969">
        <w:rPr>
          <w:rFonts w:ascii="Times New Roman" w:hAnsi="Times New Roman" w:cs="Times New Roman"/>
          <w:sz w:val="20"/>
          <w:szCs w:val="20"/>
        </w:rPr>
        <w:t xml:space="preserve">Peters, </w:t>
      </w:r>
      <w:r w:rsidRPr="00A04969">
        <w:rPr>
          <w:rFonts w:ascii="Times New Roman" w:hAnsi="Times New Roman" w:cs="Times New Roman"/>
          <w:i/>
          <w:sz w:val="20"/>
          <w:szCs w:val="20"/>
        </w:rPr>
        <w:t>supra</w:t>
      </w:r>
      <w:r w:rsidRPr="00A04969">
        <w:rPr>
          <w:rFonts w:ascii="Times New Roman" w:hAnsi="Times New Roman" w:cs="Times New Roman"/>
          <w:sz w:val="20"/>
          <w:szCs w:val="20"/>
        </w:rPr>
        <w:t xml:space="preserve"> n. </w:t>
      </w:r>
      <w:r w:rsidRPr="00A04969">
        <w:rPr>
          <w:rFonts w:ascii="Times New Roman" w:hAnsi="Times New Roman" w:cs="Times New Roman"/>
          <w:sz w:val="20"/>
          <w:szCs w:val="20"/>
        </w:rPr>
        <w:fldChar w:fldCharType="begin"/>
      </w:r>
      <w:r w:rsidRPr="00A04969">
        <w:rPr>
          <w:rFonts w:ascii="Times New Roman" w:hAnsi="Times New Roman" w:cs="Times New Roman"/>
          <w:sz w:val="20"/>
          <w:szCs w:val="20"/>
        </w:rPr>
        <w:instrText xml:space="preserve"> NOTEREF _Ref334009836 \h </w:instrText>
      </w:r>
      <w:r w:rsidRPr="00A04969">
        <w:rPr>
          <w:rFonts w:ascii="Times New Roman" w:hAnsi="Times New Roman" w:cs="Times New Roman"/>
          <w:sz w:val="20"/>
          <w:szCs w:val="20"/>
        </w:rPr>
      </w:r>
      <w:r w:rsidRPr="00A04969">
        <w:rPr>
          <w:rFonts w:ascii="Times New Roman" w:hAnsi="Times New Roman" w:cs="Times New Roman"/>
          <w:sz w:val="20"/>
          <w:szCs w:val="20"/>
        </w:rPr>
        <w:fldChar w:fldCharType="separate"/>
      </w:r>
      <w:r>
        <w:rPr>
          <w:rFonts w:ascii="Times New Roman" w:hAnsi="Times New Roman" w:cs="Times New Roman"/>
          <w:sz w:val="20"/>
          <w:szCs w:val="20"/>
        </w:rPr>
        <w:t>397</w:t>
      </w:r>
      <w:r w:rsidRPr="00A04969">
        <w:rPr>
          <w:rFonts w:ascii="Times New Roman" w:hAnsi="Times New Roman" w:cs="Times New Roman"/>
          <w:sz w:val="20"/>
          <w:szCs w:val="20"/>
        </w:rPr>
        <w:fldChar w:fldCharType="end"/>
      </w:r>
      <w:r w:rsidRPr="00A04969">
        <w:rPr>
          <w:rFonts w:ascii="Times New Roman" w:hAnsi="Times New Roman" w:cs="Times New Roman"/>
          <w:sz w:val="20"/>
          <w:szCs w:val="20"/>
        </w:rPr>
        <w:t xml:space="preserve"> at</w:t>
      </w:r>
      <w:r w:rsidRPr="00A04969">
        <w:rPr>
          <w:rFonts w:ascii="Times New Roman" w:hAnsi="Times New Roman" w:cs="Times New Roman"/>
          <w:bCs/>
          <w:sz w:val="20"/>
          <w:szCs w:val="20"/>
        </w:rPr>
        <w:t xml:space="preserve"> 685.</w:t>
      </w:r>
      <w:proofErr w:type="gramEnd"/>
    </w:p>
  </w:footnote>
  <w:footnote w:id="412">
    <w:p w14:paraId="63D893BD" w14:textId="77777777" w:rsidR="00D43BBB" w:rsidRPr="00A04969" w:rsidRDefault="00D43BBB" w:rsidP="00826000">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proofErr w:type="gramStart"/>
      <w:r w:rsidRPr="00A04969">
        <w:rPr>
          <w:rFonts w:ascii="Times New Roman" w:hAnsi="Times New Roman" w:cs="Times New Roman"/>
          <w:sz w:val="20"/>
          <w:szCs w:val="20"/>
        </w:rPr>
        <w:t xml:space="preserve">Scott, </w:t>
      </w:r>
      <w:r w:rsidRPr="00A04969">
        <w:rPr>
          <w:rFonts w:ascii="Times New Roman" w:hAnsi="Times New Roman" w:cs="Times New Roman"/>
          <w:i/>
          <w:sz w:val="20"/>
          <w:szCs w:val="20"/>
        </w:rPr>
        <w:t>supra</w:t>
      </w:r>
      <w:r w:rsidRPr="00A04969">
        <w:rPr>
          <w:rFonts w:ascii="Times New Roman" w:hAnsi="Times New Roman" w:cs="Times New Roman"/>
          <w:sz w:val="20"/>
          <w:szCs w:val="20"/>
        </w:rPr>
        <w:t xml:space="preserve"> n. </w:t>
      </w:r>
      <w:r w:rsidRPr="00A04969">
        <w:rPr>
          <w:rFonts w:ascii="Times New Roman" w:hAnsi="Times New Roman" w:cs="Times New Roman"/>
          <w:sz w:val="20"/>
          <w:szCs w:val="20"/>
        </w:rPr>
        <w:fldChar w:fldCharType="begin"/>
      </w:r>
      <w:r w:rsidRPr="00A04969">
        <w:rPr>
          <w:rFonts w:ascii="Times New Roman" w:hAnsi="Times New Roman" w:cs="Times New Roman"/>
          <w:sz w:val="20"/>
          <w:szCs w:val="20"/>
        </w:rPr>
        <w:instrText xml:space="preserve"> NOTEREF _Ref334009943 \h </w:instrText>
      </w:r>
      <w:r w:rsidRPr="00A04969">
        <w:rPr>
          <w:rFonts w:ascii="Times New Roman" w:hAnsi="Times New Roman" w:cs="Times New Roman"/>
          <w:sz w:val="20"/>
          <w:szCs w:val="20"/>
        </w:rPr>
      </w:r>
      <w:r w:rsidRPr="00A04969">
        <w:rPr>
          <w:rFonts w:ascii="Times New Roman" w:hAnsi="Times New Roman" w:cs="Times New Roman"/>
          <w:sz w:val="20"/>
          <w:szCs w:val="20"/>
        </w:rPr>
        <w:fldChar w:fldCharType="separate"/>
      </w:r>
      <w:r>
        <w:rPr>
          <w:rFonts w:ascii="Times New Roman" w:hAnsi="Times New Roman" w:cs="Times New Roman"/>
          <w:sz w:val="20"/>
          <w:szCs w:val="20"/>
        </w:rPr>
        <w:t>406</w:t>
      </w:r>
      <w:r w:rsidRPr="00A04969">
        <w:rPr>
          <w:rFonts w:ascii="Times New Roman" w:hAnsi="Times New Roman" w:cs="Times New Roman"/>
          <w:sz w:val="20"/>
          <w:szCs w:val="20"/>
        </w:rPr>
        <w:fldChar w:fldCharType="end"/>
      </w:r>
      <w:r w:rsidRPr="00A04969">
        <w:rPr>
          <w:rFonts w:ascii="Times New Roman" w:hAnsi="Times New Roman" w:cs="Times New Roman"/>
          <w:sz w:val="20"/>
          <w:szCs w:val="20"/>
        </w:rPr>
        <w:t xml:space="preserve"> at 139.</w:t>
      </w:r>
      <w:proofErr w:type="gramEnd"/>
    </w:p>
  </w:footnote>
  <w:footnote w:id="413">
    <w:p w14:paraId="062A33C9" w14:textId="56787683"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proofErr w:type="gramStart"/>
      <w:r w:rsidRPr="00A04969">
        <w:rPr>
          <w:rFonts w:ascii="Times New Roman" w:hAnsi="Times New Roman" w:cs="Times New Roman"/>
          <w:sz w:val="20"/>
          <w:szCs w:val="20"/>
        </w:rPr>
        <w:t>Alaska Federation of Natives, 2011 Federal Priorities.</w:t>
      </w:r>
      <w:proofErr w:type="gramEnd"/>
    </w:p>
  </w:footnote>
  <w:footnote w:id="414">
    <w:p w14:paraId="48818BF0" w14:textId="6D5F1E23" w:rsidR="00D43BBB" w:rsidRPr="00A04969" w:rsidRDefault="00D43BBB" w:rsidP="002420B7">
      <w:pPr>
        <w:widowControl w:val="0"/>
        <w:autoSpaceDE w:val="0"/>
        <w:autoSpaceDN w:val="0"/>
        <w:adjustRightInd w:val="0"/>
        <w:rPr>
          <w:sz w:val="20"/>
          <w:szCs w:val="20"/>
          <w:lang w:val="en-US"/>
        </w:rPr>
      </w:pPr>
      <w:r w:rsidRPr="00A04969">
        <w:rPr>
          <w:rStyle w:val="FootnoteReference"/>
          <w:sz w:val="20"/>
          <w:szCs w:val="20"/>
        </w:rPr>
        <w:footnoteRef/>
      </w:r>
      <w:r w:rsidRPr="00A04969">
        <w:rPr>
          <w:sz w:val="20"/>
          <w:szCs w:val="20"/>
        </w:rPr>
        <w:t xml:space="preserve"> Natcher, D., </w:t>
      </w:r>
      <w:r w:rsidRPr="00A04969">
        <w:rPr>
          <w:sz w:val="20"/>
          <w:szCs w:val="20"/>
          <w:lang w:val="en-US"/>
        </w:rPr>
        <w:t xml:space="preserve">Gender and Resource Co-Management in Northern Canada, </w:t>
      </w:r>
      <w:r w:rsidRPr="00A04969">
        <w:rPr>
          <w:sz w:val="20"/>
          <w:szCs w:val="20"/>
        </w:rPr>
        <w:t xml:space="preserve">66:2 </w:t>
      </w:r>
      <w:r w:rsidRPr="00A04969">
        <w:rPr>
          <w:bCs/>
          <w:sz w:val="20"/>
          <w:szCs w:val="20"/>
        </w:rPr>
        <w:t>Arctic</w:t>
      </w:r>
      <w:r w:rsidRPr="00A04969">
        <w:rPr>
          <w:sz w:val="20"/>
          <w:szCs w:val="20"/>
        </w:rPr>
        <w:t xml:space="preserve"> 218 (June 2013).</w:t>
      </w:r>
    </w:p>
  </w:footnote>
  <w:footnote w:id="415">
    <w:p w14:paraId="0B1FE01B" w14:textId="66A47271"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proofErr w:type="gramStart"/>
      <w:r w:rsidRPr="00A04969">
        <w:rPr>
          <w:rFonts w:ascii="Times New Roman" w:hAnsi="Times New Roman" w:cs="Times New Roman"/>
          <w:sz w:val="20"/>
          <w:szCs w:val="20"/>
        </w:rPr>
        <w:t xml:space="preserve">Peters, </w:t>
      </w:r>
      <w:r w:rsidRPr="00A04969">
        <w:rPr>
          <w:rFonts w:ascii="Times New Roman" w:hAnsi="Times New Roman" w:cs="Times New Roman"/>
          <w:i/>
          <w:sz w:val="20"/>
          <w:szCs w:val="20"/>
        </w:rPr>
        <w:t>supra</w:t>
      </w:r>
      <w:r w:rsidRPr="00A04969">
        <w:rPr>
          <w:rFonts w:ascii="Times New Roman" w:hAnsi="Times New Roman" w:cs="Times New Roman"/>
          <w:sz w:val="20"/>
          <w:szCs w:val="20"/>
        </w:rPr>
        <w:t xml:space="preserve"> n. </w:t>
      </w:r>
      <w:r w:rsidRPr="00A04969">
        <w:rPr>
          <w:rFonts w:ascii="Times New Roman" w:hAnsi="Times New Roman" w:cs="Times New Roman"/>
          <w:sz w:val="20"/>
          <w:szCs w:val="20"/>
        </w:rPr>
        <w:fldChar w:fldCharType="begin"/>
      </w:r>
      <w:r w:rsidRPr="00A04969">
        <w:rPr>
          <w:rFonts w:ascii="Times New Roman" w:hAnsi="Times New Roman" w:cs="Times New Roman"/>
          <w:sz w:val="20"/>
          <w:szCs w:val="20"/>
        </w:rPr>
        <w:instrText xml:space="preserve"> NOTEREF _Ref334009836 \h </w:instrText>
      </w:r>
      <w:r w:rsidRPr="00A04969">
        <w:rPr>
          <w:rFonts w:ascii="Times New Roman" w:hAnsi="Times New Roman" w:cs="Times New Roman"/>
          <w:sz w:val="20"/>
          <w:szCs w:val="20"/>
        </w:rPr>
      </w:r>
      <w:r w:rsidRPr="00A04969">
        <w:rPr>
          <w:rFonts w:ascii="Times New Roman" w:hAnsi="Times New Roman" w:cs="Times New Roman"/>
          <w:sz w:val="20"/>
          <w:szCs w:val="20"/>
        </w:rPr>
        <w:fldChar w:fldCharType="separate"/>
      </w:r>
      <w:r>
        <w:rPr>
          <w:rFonts w:ascii="Times New Roman" w:hAnsi="Times New Roman" w:cs="Times New Roman"/>
          <w:sz w:val="20"/>
          <w:szCs w:val="20"/>
        </w:rPr>
        <w:t>397</w:t>
      </w:r>
      <w:r w:rsidRPr="00A04969">
        <w:rPr>
          <w:rFonts w:ascii="Times New Roman" w:hAnsi="Times New Roman" w:cs="Times New Roman"/>
          <w:sz w:val="20"/>
          <w:szCs w:val="20"/>
        </w:rPr>
        <w:fldChar w:fldCharType="end"/>
      </w:r>
      <w:r w:rsidRPr="00A04969">
        <w:rPr>
          <w:rFonts w:ascii="Times New Roman" w:hAnsi="Times New Roman" w:cs="Times New Roman"/>
          <w:sz w:val="20"/>
          <w:szCs w:val="20"/>
        </w:rPr>
        <w:t xml:space="preserve"> at</w:t>
      </w:r>
      <w:r w:rsidRPr="00A04969">
        <w:rPr>
          <w:rFonts w:ascii="Times New Roman" w:hAnsi="Times New Roman" w:cs="Times New Roman"/>
          <w:bCs/>
          <w:sz w:val="20"/>
          <w:szCs w:val="20"/>
        </w:rPr>
        <w:t xml:space="preserve"> 675.</w:t>
      </w:r>
      <w:proofErr w:type="gramEnd"/>
    </w:p>
  </w:footnote>
  <w:footnote w:id="416">
    <w:p w14:paraId="4DEEEB8F" w14:textId="64C5A69E" w:rsidR="00D43BBB" w:rsidRPr="00A04969" w:rsidRDefault="00D43BBB" w:rsidP="002420B7">
      <w:pPr>
        <w:widowControl w:val="0"/>
        <w:autoSpaceDE w:val="0"/>
        <w:autoSpaceDN w:val="0"/>
        <w:adjustRightInd w:val="0"/>
        <w:rPr>
          <w:sz w:val="20"/>
          <w:szCs w:val="20"/>
        </w:rPr>
      </w:pPr>
      <w:r w:rsidRPr="00A04969">
        <w:rPr>
          <w:rStyle w:val="FootnoteReference"/>
          <w:sz w:val="20"/>
          <w:szCs w:val="20"/>
        </w:rPr>
        <w:footnoteRef/>
      </w:r>
      <w:r w:rsidRPr="00A04969">
        <w:rPr>
          <w:sz w:val="20"/>
          <w:szCs w:val="20"/>
        </w:rPr>
        <w:t xml:space="preserve"> </w:t>
      </w:r>
      <w:proofErr w:type="gramStart"/>
      <w:r w:rsidRPr="00A04969">
        <w:rPr>
          <w:sz w:val="20"/>
          <w:szCs w:val="20"/>
        </w:rPr>
        <w:t>Staples, K. and Natcher, D., Gender, Critical Mass and Resource Co-Management, 41 Northern Review 139 (2015).</w:t>
      </w:r>
      <w:proofErr w:type="gramEnd"/>
    </w:p>
  </w:footnote>
  <w:footnote w:id="417">
    <w:p w14:paraId="61CF9BD9" w14:textId="5E0DC2B3"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proofErr w:type="gramStart"/>
      <w:r w:rsidRPr="00A04969">
        <w:rPr>
          <w:rFonts w:ascii="Times New Roman" w:hAnsi="Times New Roman" w:cs="Times New Roman"/>
          <w:i/>
          <w:sz w:val="20"/>
          <w:szCs w:val="20"/>
        </w:rPr>
        <w:t>Id.</w:t>
      </w:r>
      <w:r w:rsidRPr="00A04969">
        <w:rPr>
          <w:rFonts w:ascii="Times New Roman" w:hAnsi="Times New Roman" w:cs="Times New Roman"/>
          <w:sz w:val="20"/>
          <w:szCs w:val="20"/>
        </w:rPr>
        <w:t xml:space="preserve"> at 146.</w:t>
      </w:r>
      <w:proofErr w:type="gramEnd"/>
    </w:p>
  </w:footnote>
  <w:footnote w:id="418">
    <w:p w14:paraId="749AC366" w14:textId="2BFB09C0"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proofErr w:type="gramStart"/>
      <w:r w:rsidRPr="00A04969">
        <w:rPr>
          <w:rFonts w:ascii="Times New Roman" w:hAnsi="Times New Roman" w:cs="Times New Roman"/>
          <w:i/>
          <w:sz w:val="20"/>
          <w:szCs w:val="20"/>
        </w:rPr>
        <w:t>Id.</w:t>
      </w:r>
      <w:r w:rsidRPr="00A04969">
        <w:rPr>
          <w:rFonts w:ascii="Times New Roman" w:hAnsi="Times New Roman" w:cs="Times New Roman"/>
          <w:sz w:val="20"/>
          <w:szCs w:val="20"/>
        </w:rPr>
        <w:t xml:space="preserve"> at 141.</w:t>
      </w:r>
      <w:proofErr w:type="gramEnd"/>
    </w:p>
  </w:footnote>
  <w:footnote w:id="419">
    <w:p w14:paraId="70470BA6" w14:textId="22E1F801"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r w:rsidRPr="00A04969">
        <w:rPr>
          <w:rFonts w:ascii="Times New Roman" w:hAnsi="Times New Roman" w:cs="Times New Roman"/>
          <w:i/>
          <w:sz w:val="20"/>
          <w:szCs w:val="20"/>
        </w:rPr>
        <w:t>Id.</w:t>
      </w:r>
      <w:r w:rsidRPr="00A04969">
        <w:rPr>
          <w:rFonts w:ascii="Times New Roman" w:hAnsi="Times New Roman" w:cs="Times New Roman"/>
          <w:sz w:val="20"/>
          <w:szCs w:val="20"/>
        </w:rPr>
        <w:t xml:space="preserve"> </w:t>
      </w:r>
    </w:p>
  </w:footnote>
  <w:footnote w:id="420">
    <w:p w14:paraId="7096D936" w14:textId="483EAC54"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proofErr w:type="gramStart"/>
      <w:r w:rsidRPr="00A04969">
        <w:rPr>
          <w:rFonts w:ascii="Times New Roman" w:hAnsi="Times New Roman" w:cs="Times New Roman"/>
          <w:i/>
          <w:sz w:val="20"/>
          <w:szCs w:val="20"/>
        </w:rPr>
        <w:t>Id.</w:t>
      </w:r>
      <w:r w:rsidRPr="00A04969">
        <w:rPr>
          <w:rFonts w:ascii="Times New Roman" w:hAnsi="Times New Roman" w:cs="Times New Roman"/>
          <w:sz w:val="20"/>
          <w:szCs w:val="20"/>
        </w:rPr>
        <w:t xml:space="preserve"> at 151.</w:t>
      </w:r>
      <w:proofErr w:type="gramEnd"/>
    </w:p>
  </w:footnote>
  <w:footnote w:id="421">
    <w:p w14:paraId="75011F80" w14:textId="7C8EF24D"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r w:rsidRPr="00A04969">
        <w:rPr>
          <w:rFonts w:ascii="Times New Roman" w:hAnsi="Times New Roman" w:cs="Times New Roman"/>
          <w:i/>
          <w:sz w:val="20"/>
          <w:szCs w:val="20"/>
        </w:rPr>
        <w:t>See, e.g,</w:t>
      </w:r>
      <w:r w:rsidRPr="00A04969">
        <w:rPr>
          <w:rFonts w:ascii="Times New Roman" w:hAnsi="Times New Roman" w:cs="Times New Roman"/>
          <w:sz w:val="20"/>
          <w:szCs w:val="20"/>
        </w:rPr>
        <w:t xml:space="preserve"> MVLWB Policy, </w:t>
      </w:r>
      <w:r w:rsidRPr="00A04969">
        <w:rPr>
          <w:rFonts w:ascii="Times New Roman" w:hAnsi="Times New Roman" w:cs="Times New Roman"/>
          <w:i/>
          <w:sz w:val="20"/>
          <w:szCs w:val="20"/>
          <w:lang w:val="en-CA"/>
        </w:rPr>
        <w:t>supra</w:t>
      </w:r>
      <w:r w:rsidRPr="00A04969">
        <w:rPr>
          <w:rFonts w:ascii="Times New Roman" w:hAnsi="Times New Roman" w:cs="Times New Roman"/>
          <w:sz w:val="20"/>
          <w:szCs w:val="20"/>
          <w:lang w:val="en-CA"/>
        </w:rPr>
        <w:t xml:space="preserve"> n. </w:t>
      </w:r>
      <w:r w:rsidRPr="00A04969">
        <w:rPr>
          <w:rFonts w:ascii="Times New Roman" w:hAnsi="Times New Roman" w:cs="Times New Roman"/>
          <w:sz w:val="20"/>
          <w:szCs w:val="20"/>
          <w:lang w:val="en-CA"/>
        </w:rPr>
        <w:fldChar w:fldCharType="begin"/>
      </w:r>
      <w:r w:rsidRPr="00A04969">
        <w:rPr>
          <w:rFonts w:ascii="Times New Roman" w:hAnsi="Times New Roman" w:cs="Times New Roman"/>
          <w:sz w:val="20"/>
          <w:szCs w:val="20"/>
          <w:lang w:val="en-CA"/>
        </w:rPr>
        <w:instrText xml:space="preserve"> NOTEREF _Ref334084615 \h </w:instrText>
      </w:r>
      <w:r w:rsidRPr="00A04969">
        <w:rPr>
          <w:rFonts w:ascii="Times New Roman" w:hAnsi="Times New Roman" w:cs="Times New Roman"/>
          <w:sz w:val="20"/>
          <w:szCs w:val="20"/>
          <w:lang w:val="en-CA"/>
        </w:rPr>
      </w:r>
      <w:r w:rsidRPr="00A04969">
        <w:rPr>
          <w:rFonts w:ascii="Times New Roman" w:hAnsi="Times New Roman" w:cs="Times New Roman"/>
          <w:sz w:val="20"/>
          <w:szCs w:val="20"/>
          <w:lang w:val="en-CA"/>
        </w:rPr>
        <w:fldChar w:fldCharType="separate"/>
      </w:r>
      <w:r>
        <w:rPr>
          <w:rFonts w:ascii="Times New Roman" w:hAnsi="Times New Roman" w:cs="Times New Roman"/>
          <w:sz w:val="20"/>
          <w:szCs w:val="20"/>
          <w:lang w:val="en-CA"/>
        </w:rPr>
        <w:t>43</w:t>
      </w:r>
      <w:r w:rsidRPr="00A04969">
        <w:rPr>
          <w:rFonts w:ascii="Times New Roman" w:hAnsi="Times New Roman" w:cs="Times New Roman"/>
          <w:sz w:val="20"/>
          <w:szCs w:val="20"/>
          <w:lang w:val="en-CA"/>
        </w:rPr>
        <w:fldChar w:fldCharType="end"/>
      </w:r>
      <w:r w:rsidRPr="00A04969">
        <w:rPr>
          <w:rFonts w:ascii="Times New Roman" w:hAnsi="Times New Roman" w:cs="Times New Roman"/>
          <w:sz w:val="20"/>
          <w:szCs w:val="20"/>
          <w:lang w:val="en-CA"/>
        </w:rPr>
        <w:t>.</w:t>
      </w:r>
    </w:p>
  </w:footnote>
  <w:footnote w:id="422">
    <w:p w14:paraId="3C332513" w14:textId="18BE08FC" w:rsidR="00D43BBB" w:rsidRPr="00A04969" w:rsidRDefault="00D43BBB" w:rsidP="002420B7">
      <w:pPr>
        <w:widowControl w:val="0"/>
        <w:autoSpaceDE w:val="0"/>
        <w:autoSpaceDN w:val="0"/>
        <w:adjustRightInd w:val="0"/>
        <w:rPr>
          <w:sz w:val="20"/>
          <w:szCs w:val="20"/>
        </w:rPr>
      </w:pPr>
      <w:r w:rsidRPr="00A04969">
        <w:rPr>
          <w:rStyle w:val="FootnoteReference"/>
          <w:sz w:val="20"/>
          <w:szCs w:val="20"/>
        </w:rPr>
        <w:footnoteRef/>
      </w:r>
      <w:r w:rsidRPr="00A04969">
        <w:rPr>
          <w:sz w:val="20"/>
          <w:szCs w:val="20"/>
        </w:rPr>
        <w:t xml:space="preserve"> Act on Greenland Self-Government, No. 473, 2009; </w:t>
      </w:r>
      <w:proofErr w:type="spellStart"/>
      <w:r w:rsidRPr="00A04969">
        <w:rPr>
          <w:sz w:val="20"/>
          <w:szCs w:val="20"/>
        </w:rPr>
        <w:t>Broderstad</w:t>
      </w:r>
      <w:proofErr w:type="spellEnd"/>
      <w:r w:rsidRPr="00A04969">
        <w:rPr>
          <w:sz w:val="20"/>
          <w:szCs w:val="20"/>
        </w:rPr>
        <w:t xml:space="preserve">, </w:t>
      </w:r>
      <w:r w:rsidRPr="00A04969">
        <w:rPr>
          <w:i/>
          <w:sz w:val="20"/>
          <w:szCs w:val="20"/>
        </w:rPr>
        <w:t>supra</w:t>
      </w:r>
      <w:r w:rsidRPr="00A04969">
        <w:rPr>
          <w:sz w:val="20"/>
          <w:szCs w:val="20"/>
        </w:rPr>
        <w:t xml:space="preserve"> n. </w:t>
      </w:r>
      <w:r w:rsidRPr="00A04969">
        <w:rPr>
          <w:sz w:val="20"/>
          <w:szCs w:val="20"/>
        </w:rPr>
        <w:fldChar w:fldCharType="begin"/>
      </w:r>
      <w:r w:rsidRPr="00A04969">
        <w:rPr>
          <w:sz w:val="20"/>
          <w:szCs w:val="20"/>
        </w:rPr>
        <w:instrText xml:space="preserve"> NOTEREF _Ref334084861 \h </w:instrText>
      </w:r>
      <w:r w:rsidRPr="00A04969">
        <w:rPr>
          <w:sz w:val="20"/>
          <w:szCs w:val="20"/>
        </w:rPr>
      </w:r>
      <w:r w:rsidRPr="00A04969">
        <w:rPr>
          <w:sz w:val="20"/>
          <w:szCs w:val="20"/>
        </w:rPr>
        <w:fldChar w:fldCharType="separate"/>
      </w:r>
      <w:r>
        <w:rPr>
          <w:sz w:val="20"/>
          <w:szCs w:val="20"/>
        </w:rPr>
        <w:t>63</w:t>
      </w:r>
      <w:r w:rsidRPr="00A04969">
        <w:rPr>
          <w:sz w:val="20"/>
          <w:szCs w:val="20"/>
        </w:rPr>
        <w:fldChar w:fldCharType="end"/>
      </w:r>
      <w:r w:rsidRPr="00A04969">
        <w:rPr>
          <w:sz w:val="20"/>
          <w:szCs w:val="20"/>
        </w:rPr>
        <w:t xml:space="preserve"> at 11. </w:t>
      </w:r>
    </w:p>
  </w:footnote>
  <w:footnote w:id="423">
    <w:p w14:paraId="3F9F363A" w14:textId="1333831F" w:rsidR="00D43BBB" w:rsidRPr="00A04969" w:rsidRDefault="00D43BBB" w:rsidP="002420B7">
      <w:pPr>
        <w:widowControl w:val="0"/>
        <w:autoSpaceDE w:val="0"/>
        <w:autoSpaceDN w:val="0"/>
        <w:adjustRightInd w:val="0"/>
        <w:rPr>
          <w:sz w:val="20"/>
          <w:szCs w:val="20"/>
          <w:lang w:val="en-US"/>
        </w:rPr>
      </w:pPr>
      <w:r w:rsidRPr="00A04969">
        <w:rPr>
          <w:rStyle w:val="FootnoteReference"/>
          <w:sz w:val="20"/>
          <w:szCs w:val="20"/>
        </w:rPr>
        <w:footnoteRef/>
      </w:r>
      <w:r w:rsidRPr="00A04969">
        <w:rPr>
          <w:sz w:val="20"/>
          <w:szCs w:val="20"/>
        </w:rPr>
        <w:t xml:space="preserve"> </w:t>
      </w:r>
      <w:r w:rsidRPr="00A04969">
        <w:rPr>
          <w:sz w:val="20"/>
          <w:szCs w:val="20"/>
          <w:lang w:val="en-US"/>
        </w:rPr>
        <w:t xml:space="preserve">Wiber, M. and Milley, C. After </w:t>
      </w:r>
      <w:r w:rsidRPr="00A04969">
        <w:rPr>
          <w:i/>
          <w:iCs/>
          <w:sz w:val="20"/>
          <w:szCs w:val="20"/>
          <w:lang w:val="en-US"/>
        </w:rPr>
        <w:t>Marshall</w:t>
      </w:r>
      <w:r w:rsidRPr="00A04969">
        <w:rPr>
          <w:sz w:val="20"/>
          <w:szCs w:val="20"/>
          <w:lang w:val="en-US"/>
        </w:rPr>
        <w:t>: Implementation Of Aboriginal Fishing Rights In Atlantic Canada, 55 Journal of Legal Pluralism 163, 177 (2007).</w:t>
      </w:r>
    </w:p>
  </w:footnote>
  <w:footnote w:id="424">
    <w:p w14:paraId="4DB50CEA" w14:textId="511C4481"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proofErr w:type="gramStart"/>
      <w:r w:rsidRPr="00A04969">
        <w:rPr>
          <w:rFonts w:ascii="Times New Roman" w:hAnsi="Times New Roman" w:cs="Times New Roman"/>
          <w:i/>
          <w:sz w:val="20"/>
          <w:szCs w:val="20"/>
        </w:rPr>
        <w:t>Id.</w:t>
      </w:r>
      <w:r w:rsidRPr="00A04969">
        <w:rPr>
          <w:rFonts w:ascii="Times New Roman" w:hAnsi="Times New Roman" w:cs="Times New Roman"/>
          <w:sz w:val="20"/>
          <w:szCs w:val="20"/>
        </w:rPr>
        <w:t xml:space="preserve"> at 178.</w:t>
      </w:r>
      <w:proofErr w:type="gramEnd"/>
    </w:p>
  </w:footnote>
  <w:footnote w:id="425">
    <w:p w14:paraId="004FFC96" w14:textId="49769AEA"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proofErr w:type="gramStart"/>
      <w:r w:rsidRPr="00A04969">
        <w:rPr>
          <w:rFonts w:ascii="Times New Roman" w:hAnsi="Times New Roman" w:cs="Times New Roman"/>
          <w:bCs/>
          <w:sz w:val="20"/>
          <w:szCs w:val="20"/>
        </w:rPr>
        <w:t>FPIC Methodologies Report</w:t>
      </w:r>
      <w:r w:rsidRPr="00A04969">
        <w:rPr>
          <w:rFonts w:ascii="Times New Roman" w:hAnsi="Times New Roman" w:cs="Times New Roman"/>
          <w:sz w:val="20"/>
          <w:szCs w:val="20"/>
        </w:rPr>
        <w:t xml:space="preserve">, </w:t>
      </w:r>
      <w:r w:rsidRPr="00A04969">
        <w:rPr>
          <w:rFonts w:ascii="Times New Roman" w:hAnsi="Times New Roman" w:cs="Times New Roman"/>
          <w:i/>
          <w:sz w:val="20"/>
          <w:szCs w:val="20"/>
        </w:rPr>
        <w:t>supra</w:t>
      </w:r>
      <w:r w:rsidRPr="00A04969">
        <w:rPr>
          <w:rFonts w:ascii="Times New Roman" w:hAnsi="Times New Roman" w:cs="Times New Roman"/>
          <w:sz w:val="20"/>
          <w:szCs w:val="20"/>
        </w:rPr>
        <w:t xml:space="preserve"> n. </w:t>
      </w:r>
      <w:r w:rsidRPr="00A04969">
        <w:rPr>
          <w:rFonts w:ascii="Times New Roman" w:hAnsi="Times New Roman" w:cs="Times New Roman"/>
          <w:sz w:val="20"/>
          <w:szCs w:val="20"/>
        </w:rPr>
        <w:fldChar w:fldCharType="begin"/>
      </w:r>
      <w:r w:rsidRPr="00A04969">
        <w:rPr>
          <w:rFonts w:ascii="Times New Roman" w:hAnsi="Times New Roman" w:cs="Times New Roman"/>
          <w:sz w:val="20"/>
          <w:szCs w:val="20"/>
        </w:rPr>
        <w:instrText xml:space="preserve"> NOTEREF _Ref334008603 \h </w:instrText>
      </w:r>
      <w:r w:rsidRPr="00A04969">
        <w:rPr>
          <w:rFonts w:ascii="Times New Roman" w:hAnsi="Times New Roman" w:cs="Times New Roman"/>
          <w:sz w:val="20"/>
          <w:szCs w:val="20"/>
        </w:rPr>
      </w:r>
      <w:r w:rsidRPr="00A04969">
        <w:rPr>
          <w:rFonts w:ascii="Times New Roman" w:hAnsi="Times New Roman" w:cs="Times New Roman"/>
          <w:sz w:val="20"/>
          <w:szCs w:val="20"/>
        </w:rPr>
        <w:fldChar w:fldCharType="separate"/>
      </w:r>
      <w:r>
        <w:rPr>
          <w:rFonts w:ascii="Times New Roman" w:hAnsi="Times New Roman" w:cs="Times New Roman"/>
          <w:sz w:val="20"/>
          <w:szCs w:val="20"/>
        </w:rPr>
        <w:t>120</w:t>
      </w:r>
      <w:r w:rsidRPr="00A04969">
        <w:rPr>
          <w:rFonts w:ascii="Times New Roman" w:hAnsi="Times New Roman" w:cs="Times New Roman"/>
          <w:sz w:val="20"/>
          <w:szCs w:val="20"/>
        </w:rPr>
        <w:fldChar w:fldCharType="end"/>
      </w:r>
      <w:r w:rsidRPr="00A04969">
        <w:rPr>
          <w:rFonts w:ascii="Times New Roman" w:hAnsi="Times New Roman" w:cs="Times New Roman"/>
          <w:sz w:val="20"/>
          <w:szCs w:val="20"/>
        </w:rPr>
        <w:t xml:space="preserve"> ¶ 42.</w:t>
      </w:r>
      <w:proofErr w:type="gramEnd"/>
    </w:p>
  </w:footnote>
  <w:footnote w:id="426">
    <w:p w14:paraId="112221DF" w14:textId="617CF094"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proofErr w:type="gramStart"/>
      <w:r w:rsidRPr="00A04969">
        <w:rPr>
          <w:rFonts w:ascii="Times New Roman" w:hAnsi="Times New Roman" w:cs="Times New Roman"/>
          <w:sz w:val="20"/>
          <w:szCs w:val="20"/>
        </w:rPr>
        <w:t>ILO No. 169 art.</w:t>
      </w:r>
      <w:proofErr w:type="gramEnd"/>
      <w:r w:rsidRPr="00A04969">
        <w:rPr>
          <w:rFonts w:ascii="Times New Roman" w:hAnsi="Times New Roman" w:cs="Times New Roman"/>
          <w:sz w:val="20"/>
          <w:szCs w:val="20"/>
        </w:rPr>
        <w:t xml:space="preserve"> 14.</w:t>
      </w:r>
    </w:p>
  </w:footnote>
  <w:footnote w:id="427">
    <w:p w14:paraId="657A24ED" w14:textId="5CD44EBC"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UNDRIP art. 26.</w:t>
      </w:r>
    </w:p>
  </w:footnote>
  <w:footnote w:id="428">
    <w:p w14:paraId="3E6DAC91" w14:textId="5AE7D294" w:rsidR="00D43BBB" w:rsidRPr="00A04969" w:rsidRDefault="00D43BBB" w:rsidP="002420B7">
      <w:pPr>
        <w:rPr>
          <w:rFonts w:eastAsia="Times New Roman"/>
          <w:color w:val="000000"/>
          <w:sz w:val="20"/>
          <w:szCs w:val="20"/>
          <w:lang w:val="en-US"/>
        </w:rPr>
      </w:pPr>
      <w:r w:rsidRPr="00A04969">
        <w:rPr>
          <w:rStyle w:val="FootnoteReference"/>
          <w:sz w:val="20"/>
          <w:szCs w:val="20"/>
        </w:rPr>
        <w:footnoteRef/>
      </w:r>
      <w:r w:rsidRPr="00A04969">
        <w:rPr>
          <w:sz w:val="20"/>
          <w:szCs w:val="20"/>
        </w:rPr>
        <w:t xml:space="preserve"> UNDRIP arts. </w:t>
      </w:r>
      <w:proofErr w:type="gramStart"/>
      <w:r w:rsidRPr="00A04969">
        <w:rPr>
          <w:sz w:val="20"/>
          <w:szCs w:val="20"/>
        </w:rPr>
        <w:t xml:space="preserve">3, 21; </w:t>
      </w:r>
      <w:r w:rsidRPr="00A04969">
        <w:rPr>
          <w:i/>
          <w:sz w:val="20"/>
          <w:szCs w:val="20"/>
        </w:rPr>
        <w:t>See also</w:t>
      </w:r>
      <w:r w:rsidRPr="00A04969">
        <w:rPr>
          <w:sz w:val="20"/>
          <w:szCs w:val="20"/>
        </w:rPr>
        <w:t xml:space="preserve"> </w:t>
      </w:r>
      <w:r w:rsidRPr="00A04969">
        <w:rPr>
          <w:rFonts w:eastAsia="Times New Roman"/>
          <w:color w:val="000000"/>
          <w:sz w:val="20"/>
          <w:szCs w:val="20"/>
          <w:lang w:val="en-US"/>
        </w:rPr>
        <w:t xml:space="preserve">ICC, Declaration on Resource Development, </w:t>
      </w:r>
      <w:r w:rsidRPr="00A04969">
        <w:rPr>
          <w:rFonts w:eastAsia="Times New Roman"/>
          <w:i/>
          <w:color w:val="000000"/>
          <w:sz w:val="20"/>
          <w:szCs w:val="20"/>
          <w:lang w:val="en-US"/>
        </w:rPr>
        <w:t>supra</w:t>
      </w:r>
      <w:r w:rsidRPr="00A04969">
        <w:rPr>
          <w:rFonts w:eastAsia="Times New Roman"/>
          <w:color w:val="000000"/>
          <w:sz w:val="20"/>
          <w:szCs w:val="20"/>
          <w:lang w:val="en-US"/>
        </w:rPr>
        <w:t xml:space="preserve"> n. </w:t>
      </w:r>
      <w:r w:rsidRPr="00A04969">
        <w:rPr>
          <w:rFonts w:eastAsia="Times New Roman"/>
          <w:color w:val="000000"/>
          <w:sz w:val="20"/>
          <w:szCs w:val="20"/>
          <w:lang w:val="en-US"/>
        </w:rPr>
        <w:fldChar w:fldCharType="begin"/>
      </w:r>
      <w:r w:rsidRPr="00A04969">
        <w:rPr>
          <w:rFonts w:eastAsia="Times New Roman"/>
          <w:color w:val="000000"/>
          <w:sz w:val="20"/>
          <w:szCs w:val="20"/>
          <w:lang w:val="en-US"/>
        </w:rPr>
        <w:instrText xml:space="preserve"> NOTEREF _Ref333325072 </w:instrText>
      </w:r>
      <w:r w:rsidRPr="00A04969">
        <w:rPr>
          <w:color w:val="000000"/>
          <w:sz w:val="20"/>
          <w:szCs w:val="20"/>
          <w:lang w:val="en-US"/>
        </w:rPr>
        <w:fldChar w:fldCharType="separate"/>
      </w:r>
      <w:r>
        <w:rPr>
          <w:rFonts w:eastAsia="Times New Roman"/>
          <w:color w:val="000000"/>
          <w:sz w:val="20"/>
          <w:szCs w:val="20"/>
          <w:lang w:val="en-US"/>
        </w:rPr>
        <w:t>62</w:t>
      </w:r>
      <w:r w:rsidRPr="00A04969">
        <w:rPr>
          <w:rFonts w:eastAsia="Times New Roman"/>
          <w:color w:val="000000"/>
          <w:sz w:val="20"/>
          <w:szCs w:val="20"/>
          <w:lang w:val="en-US"/>
        </w:rPr>
        <w:fldChar w:fldCharType="end"/>
      </w:r>
      <w:r w:rsidRPr="00A04969">
        <w:rPr>
          <w:rFonts w:eastAsia="Times New Roman"/>
          <w:color w:val="000000"/>
          <w:sz w:val="20"/>
          <w:szCs w:val="20"/>
          <w:lang w:val="en-US"/>
        </w:rPr>
        <w:t xml:space="preserve">; ICC Inuit Arctic Policy, </w:t>
      </w:r>
      <w:r w:rsidRPr="00A04969">
        <w:rPr>
          <w:rFonts w:eastAsia="Times New Roman"/>
          <w:i/>
          <w:color w:val="000000"/>
          <w:sz w:val="20"/>
          <w:szCs w:val="20"/>
          <w:lang w:val="en-US"/>
        </w:rPr>
        <w:t>supra</w:t>
      </w:r>
      <w:r w:rsidRPr="00A04969">
        <w:rPr>
          <w:rFonts w:eastAsia="Times New Roman"/>
          <w:color w:val="000000"/>
          <w:sz w:val="20"/>
          <w:szCs w:val="20"/>
          <w:lang w:val="en-US"/>
        </w:rPr>
        <w:t xml:space="preserve"> n. </w:t>
      </w:r>
      <w:r w:rsidRPr="00A04969">
        <w:rPr>
          <w:rFonts w:eastAsia="Times New Roman"/>
          <w:color w:val="000000"/>
          <w:sz w:val="20"/>
          <w:szCs w:val="20"/>
          <w:lang w:val="en-US"/>
        </w:rPr>
        <w:fldChar w:fldCharType="begin"/>
      </w:r>
      <w:r w:rsidRPr="00A04969">
        <w:rPr>
          <w:rFonts w:eastAsia="Times New Roman"/>
          <w:color w:val="000000"/>
          <w:sz w:val="20"/>
          <w:szCs w:val="20"/>
          <w:lang w:val="en-US"/>
        </w:rPr>
        <w:instrText xml:space="preserve"> NOTEREF _Ref333385533 </w:instrText>
      </w:r>
      <w:r w:rsidRPr="00A04969">
        <w:rPr>
          <w:color w:val="000000"/>
          <w:sz w:val="20"/>
          <w:szCs w:val="20"/>
          <w:lang w:val="en-US"/>
        </w:rPr>
        <w:fldChar w:fldCharType="separate"/>
      </w:r>
      <w:r>
        <w:rPr>
          <w:rFonts w:eastAsia="Times New Roman"/>
          <w:color w:val="000000"/>
          <w:sz w:val="20"/>
          <w:szCs w:val="20"/>
          <w:lang w:val="en-US"/>
        </w:rPr>
        <w:t>92</w:t>
      </w:r>
      <w:r w:rsidRPr="00A04969">
        <w:rPr>
          <w:rFonts w:eastAsia="Times New Roman"/>
          <w:color w:val="000000"/>
          <w:sz w:val="20"/>
          <w:szCs w:val="20"/>
          <w:lang w:val="en-US"/>
        </w:rPr>
        <w:fldChar w:fldCharType="end"/>
      </w:r>
      <w:r w:rsidRPr="00A04969">
        <w:rPr>
          <w:rFonts w:eastAsia="Times New Roman"/>
          <w:color w:val="000000"/>
          <w:sz w:val="20"/>
          <w:szCs w:val="20"/>
          <w:lang w:val="en-US"/>
        </w:rPr>
        <w:t>.</w:t>
      </w:r>
      <w:proofErr w:type="gramEnd"/>
    </w:p>
  </w:footnote>
  <w:footnote w:id="429">
    <w:p w14:paraId="4A4DBC6B" w14:textId="5568EC82" w:rsidR="00D43BBB" w:rsidRPr="00A04969" w:rsidRDefault="00D43BBB">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r w:rsidRPr="00A04969">
        <w:rPr>
          <w:rFonts w:ascii="Times New Roman" w:hAnsi="Times New Roman" w:cs="Times New Roman"/>
          <w:i/>
          <w:sz w:val="20"/>
          <w:szCs w:val="20"/>
        </w:rPr>
        <w:t>See, e.g.,</w:t>
      </w:r>
      <w:r w:rsidRPr="00A04969">
        <w:rPr>
          <w:rFonts w:ascii="Times New Roman" w:hAnsi="Times New Roman" w:cs="Times New Roman"/>
          <w:sz w:val="20"/>
          <w:szCs w:val="20"/>
        </w:rPr>
        <w:t xml:space="preserve"> Arctic Social Indicators – a Follow-up to the Arctic Human Development Report at 129 (Larsen, et al, </w:t>
      </w:r>
      <w:proofErr w:type="spellStart"/>
      <w:r w:rsidRPr="00A04969">
        <w:rPr>
          <w:rFonts w:ascii="Times New Roman" w:hAnsi="Times New Roman" w:cs="Times New Roman"/>
          <w:sz w:val="20"/>
          <w:szCs w:val="20"/>
        </w:rPr>
        <w:t>eds</w:t>
      </w:r>
      <w:proofErr w:type="spellEnd"/>
      <w:r w:rsidRPr="00A04969">
        <w:rPr>
          <w:rFonts w:ascii="Times New Roman" w:hAnsi="Times New Roman" w:cs="Times New Roman"/>
          <w:sz w:val="20"/>
          <w:szCs w:val="20"/>
        </w:rPr>
        <w:t xml:space="preserve">, 2010); Arctic Social Indicators II – Implementation (Larsen, et al, </w:t>
      </w:r>
      <w:proofErr w:type="spellStart"/>
      <w:r w:rsidRPr="00A04969">
        <w:rPr>
          <w:rFonts w:ascii="Times New Roman" w:hAnsi="Times New Roman" w:cs="Times New Roman"/>
          <w:sz w:val="20"/>
          <w:szCs w:val="20"/>
        </w:rPr>
        <w:t>eds</w:t>
      </w:r>
      <w:proofErr w:type="spellEnd"/>
      <w:r w:rsidRPr="00A04969">
        <w:rPr>
          <w:rFonts w:ascii="Times New Roman" w:hAnsi="Times New Roman" w:cs="Times New Roman"/>
          <w:sz w:val="20"/>
          <w:szCs w:val="20"/>
        </w:rPr>
        <w:t>, 2012).</w:t>
      </w:r>
    </w:p>
  </w:footnote>
  <w:footnote w:id="430">
    <w:p w14:paraId="19E78BCA" w14:textId="43CB30C1" w:rsidR="00D43BBB" w:rsidRPr="00A04969" w:rsidRDefault="00D43BBB" w:rsidP="002420B7">
      <w:pPr>
        <w:widowControl w:val="0"/>
        <w:autoSpaceDE w:val="0"/>
        <w:autoSpaceDN w:val="0"/>
        <w:adjustRightInd w:val="0"/>
        <w:rPr>
          <w:sz w:val="20"/>
          <w:szCs w:val="20"/>
        </w:rPr>
      </w:pPr>
      <w:r w:rsidRPr="00A04969">
        <w:rPr>
          <w:rStyle w:val="FootnoteReference"/>
          <w:sz w:val="20"/>
          <w:szCs w:val="20"/>
        </w:rPr>
        <w:footnoteRef/>
      </w:r>
      <w:r w:rsidRPr="00A04969">
        <w:rPr>
          <w:sz w:val="20"/>
          <w:szCs w:val="20"/>
        </w:rPr>
        <w:t xml:space="preserve"> </w:t>
      </w:r>
      <w:proofErr w:type="spellStart"/>
      <w:proofErr w:type="gramStart"/>
      <w:r w:rsidRPr="00A04969">
        <w:rPr>
          <w:sz w:val="20"/>
          <w:szCs w:val="20"/>
        </w:rPr>
        <w:t>Koivurova</w:t>
      </w:r>
      <w:proofErr w:type="spellEnd"/>
      <w:r w:rsidRPr="00A04969">
        <w:rPr>
          <w:sz w:val="20"/>
          <w:szCs w:val="20"/>
        </w:rPr>
        <w:t xml:space="preserve">, T. et al., </w:t>
      </w:r>
      <w:r w:rsidRPr="00A04969">
        <w:rPr>
          <w:i/>
          <w:sz w:val="20"/>
          <w:szCs w:val="20"/>
        </w:rPr>
        <w:t>supra</w:t>
      </w:r>
      <w:r w:rsidRPr="00A04969">
        <w:rPr>
          <w:sz w:val="20"/>
          <w:szCs w:val="20"/>
        </w:rPr>
        <w:t xml:space="preserve"> n. </w:t>
      </w:r>
      <w:r w:rsidRPr="00A04969">
        <w:rPr>
          <w:sz w:val="20"/>
          <w:szCs w:val="20"/>
        </w:rPr>
        <w:fldChar w:fldCharType="begin"/>
      </w:r>
      <w:r w:rsidRPr="00A04969">
        <w:rPr>
          <w:sz w:val="20"/>
          <w:szCs w:val="20"/>
        </w:rPr>
        <w:instrText xml:space="preserve"> NOTEREF _Ref334010069 \h </w:instrText>
      </w:r>
      <w:r w:rsidRPr="00A04969">
        <w:rPr>
          <w:sz w:val="20"/>
          <w:szCs w:val="20"/>
        </w:rPr>
      </w:r>
      <w:r w:rsidRPr="00A04969">
        <w:rPr>
          <w:sz w:val="20"/>
          <w:szCs w:val="20"/>
        </w:rPr>
        <w:fldChar w:fldCharType="separate"/>
      </w:r>
      <w:r>
        <w:rPr>
          <w:sz w:val="20"/>
          <w:szCs w:val="20"/>
        </w:rPr>
        <w:t>313</w:t>
      </w:r>
      <w:r w:rsidRPr="00A04969">
        <w:rPr>
          <w:sz w:val="20"/>
          <w:szCs w:val="20"/>
        </w:rPr>
        <w:fldChar w:fldCharType="end"/>
      </w:r>
      <w:r w:rsidRPr="00A04969">
        <w:rPr>
          <w:sz w:val="20"/>
          <w:szCs w:val="20"/>
        </w:rPr>
        <w:t>.</w:t>
      </w:r>
      <w:proofErr w:type="gramEnd"/>
    </w:p>
  </w:footnote>
  <w:footnote w:id="431">
    <w:p w14:paraId="6E177462" w14:textId="02972ED9" w:rsidR="00D43BBB" w:rsidRPr="00A04969" w:rsidRDefault="00D43BBB" w:rsidP="002420B7">
      <w:pPr>
        <w:widowControl w:val="0"/>
        <w:autoSpaceDE w:val="0"/>
        <w:autoSpaceDN w:val="0"/>
        <w:adjustRightInd w:val="0"/>
        <w:rPr>
          <w:sz w:val="20"/>
          <w:szCs w:val="20"/>
          <w:lang w:val="en-US"/>
        </w:rPr>
      </w:pPr>
      <w:r w:rsidRPr="00A04969">
        <w:rPr>
          <w:rStyle w:val="FootnoteReference"/>
          <w:sz w:val="20"/>
          <w:szCs w:val="20"/>
        </w:rPr>
        <w:footnoteRef/>
      </w:r>
      <w:r w:rsidRPr="00A04969">
        <w:rPr>
          <w:sz w:val="20"/>
          <w:szCs w:val="20"/>
        </w:rPr>
        <w:t xml:space="preserve"> Broderstad, E. et al, </w:t>
      </w:r>
      <w:r w:rsidRPr="00A04969">
        <w:rPr>
          <w:i/>
          <w:sz w:val="20"/>
          <w:szCs w:val="20"/>
        </w:rPr>
        <w:t>Political Systems</w:t>
      </w:r>
      <w:r w:rsidRPr="00A04969">
        <w:rPr>
          <w:sz w:val="20"/>
          <w:szCs w:val="20"/>
        </w:rPr>
        <w:t xml:space="preserve">, in </w:t>
      </w:r>
      <w:r w:rsidRPr="00A04969">
        <w:rPr>
          <w:sz w:val="20"/>
          <w:szCs w:val="20"/>
          <w:lang w:val="en-US"/>
        </w:rPr>
        <w:t>Arctic Human Development Report at 93-97 (2004).</w:t>
      </w:r>
    </w:p>
  </w:footnote>
  <w:footnote w:id="432">
    <w:p w14:paraId="7AFD242A" w14:textId="18259E58" w:rsidR="00D43BBB" w:rsidRPr="00A04969" w:rsidRDefault="00D43BBB" w:rsidP="002420B7">
      <w:pPr>
        <w:widowControl w:val="0"/>
        <w:autoSpaceDE w:val="0"/>
        <w:autoSpaceDN w:val="0"/>
        <w:adjustRightInd w:val="0"/>
        <w:rPr>
          <w:sz w:val="20"/>
          <w:szCs w:val="20"/>
          <w:lang w:val="en-US"/>
        </w:rPr>
      </w:pPr>
      <w:r w:rsidRPr="00A04969">
        <w:rPr>
          <w:rStyle w:val="FootnoteReference"/>
          <w:sz w:val="20"/>
          <w:szCs w:val="20"/>
        </w:rPr>
        <w:footnoteRef/>
      </w:r>
      <w:r w:rsidRPr="00A04969">
        <w:rPr>
          <w:sz w:val="20"/>
          <w:szCs w:val="20"/>
        </w:rPr>
        <w:t xml:space="preserve"> Hubbard, R., </w:t>
      </w:r>
      <w:r w:rsidRPr="00A04969">
        <w:rPr>
          <w:i/>
          <w:iCs/>
          <w:sz w:val="20"/>
          <w:szCs w:val="20"/>
          <w:lang w:val="en-US"/>
        </w:rPr>
        <w:t>Risk, Rights and Responsibility: Navigating Corporate Responsibility and Indigenous Rights in Greenlandic Extractive Industry Development</w:t>
      </w:r>
      <w:r w:rsidRPr="00A04969">
        <w:rPr>
          <w:iCs/>
          <w:sz w:val="20"/>
          <w:szCs w:val="20"/>
          <w:lang w:val="en-US"/>
        </w:rPr>
        <w:t>, 22 Michigan State Int’l Law Review 101, 113 (2013).</w:t>
      </w:r>
    </w:p>
  </w:footnote>
  <w:footnote w:id="433">
    <w:p w14:paraId="0ED2BED5" w14:textId="3015A563"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proofErr w:type="gramStart"/>
      <w:r w:rsidRPr="00A04969">
        <w:rPr>
          <w:rFonts w:ascii="Times New Roman" w:hAnsi="Times New Roman" w:cs="Times New Roman"/>
          <w:sz w:val="20"/>
          <w:szCs w:val="20"/>
        </w:rPr>
        <w:t>The Constitution of the Republic of Sakha (Yakutia), N 908-XII, arts.</w:t>
      </w:r>
      <w:proofErr w:type="gramEnd"/>
      <w:r w:rsidRPr="00A04969">
        <w:rPr>
          <w:rFonts w:ascii="Times New Roman" w:hAnsi="Times New Roman" w:cs="Times New Roman"/>
          <w:sz w:val="20"/>
          <w:szCs w:val="20"/>
        </w:rPr>
        <w:t xml:space="preserve"> </w:t>
      </w:r>
      <w:proofErr w:type="gramStart"/>
      <w:r w:rsidRPr="00A04969">
        <w:rPr>
          <w:rFonts w:ascii="Times New Roman" w:hAnsi="Times New Roman" w:cs="Times New Roman"/>
          <w:sz w:val="20"/>
          <w:szCs w:val="20"/>
        </w:rPr>
        <w:t>42 and 97 (1992).</w:t>
      </w:r>
      <w:proofErr w:type="gramEnd"/>
      <w:r w:rsidRPr="00A04969">
        <w:rPr>
          <w:rFonts w:ascii="Times New Roman" w:hAnsi="Times New Roman" w:cs="Times New Roman"/>
          <w:sz w:val="20"/>
          <w:szCs w:val="20"/>
        </w:rPr>
        <w:t xml:space="preserve"> </w:t>
      </w:r>
    </w:p>
  </w:footnote>
  <w:footnote w:id="434">
    <w:p w14:paraId="62EA893D" w14:textId="799AFE53"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Tlicho Agreement, Aug. 25, 2003, § 18.1.1 (transferring property</w:t>
      </w:r>
      <w:r w:rsidRPr="00A04969">
        <w:rPr>
          <w:rFonts w:ascii="Times New Roman" w:hAnsi="Times New Roman" w:cs="Times New Roman"/>
          <w:position w:val="10"/>
          <w:sz w:val="20"/>
          <w:szCs w:val="20"/>
        </w:rPr>
        <w:t xml:space="preserve"> </w:t>
      </w:r>
      <w:r w:rsidRPr="00A04969">
        <w:rPr>
          <w:rFonts w:ascii="Times New Roman" w:hAnsi="Times New Roman" w:cs="Times New Roman"/>
          <w:sz w:val="20"/>
          <w:szCs w:val="20"/>
        </w:rPr>
        <w:t>in fee simple).</w:t>
      </w:r>
    </w:p>
  </w:footnote>
  <w:footnote w:id="435">
    <w:p w14:paraId="4F7F4E55" w14:textId="1EA437D9" w:rsidR="00D43BBB" w:rsidRPr="00A04969" w:rsidRDefault="00D43BBB" w:rsidP="002420B7">
      <w:pPr>
        <w:widowControl w:val="0"/>
        <w:autoSpaceDE w:val="0"/>
        <w:autoSpaceDN w:val="0"/>
        <w:adjustRightInd w:val="0"/>
        <w:rPr>
          <w:sz w:val="20"/>
          <w:szCs w:val="20"/>
        </w:rPr>
      </w:pPr>
      <w:r w:rsidRPr="00A04969">
        <w:rPr>
          <w:rStyle w:val="FootnoteReference"/>
          <w:sz w:val="20"/>
          <w:szCs w:val="20"/>
        </w:rPr>
        <w:footnoteRef/>
      </w:r>
      <w:r w:rsidRPr="00A04969">
        <w:rPr>
          <w:sz w:val="20"/>
          <w:szCs w:val="20"/>
        </w:rPr>
        <w:t xml:space="preserve"> </w:t>
      </w:r>
      <w:proofErr w:type="gramStart"/>
      <w:r w:rsidRPr="00A04969">
        <w:rPr>
          <w:sz w:val="20"/>
          <w:szCs w:val="20"/>
          <w:lang w:val="en-US"/>
        </w:rPr>
        <w:t xml:space="preserve">Implementing the UN Declaration on the Rights of Indigenous Peoples </w:t>
      </w:r>
      <w:r w:rsidRPr="00A04969">
        <w:rPr>
          <w:bCs/>
          <w:sz w:val="20"/>
          <w:szCs w:val="20"/>
          <w:lang w:val="en-US"/>
        </w:rPr>
        <w:t>Handbook for Parliamentarians N° 23 a</w:t>
      </w:r>
      <w:r w:rsidRPr="00A04969">
        <w:rPr>
          <w:sz w:val="20"/>
          <w:szCs w:val="20"/>
        </w:rPr>
        <w:t>t 45 (Inter-Parliamentary Union, 2014).</w:t>
      </w:r>
      <w:proofErr w:type="gramEnd"/>
      <w:r w:rsidRPr="00A04969">
        <w:rPr>
          <w:sz w:val="20"/>
          <w:szCs w:val="20"/>
        </w:rPr>
        <w:t xml:space="preserve"> </w:t>
      </w:r>
    </w:p>
  </w:footnote>
  <w:footnote w:id="436">
    <w:p w14:paraId="5491E5C5" w14:textId="597D69A1" w:rsidR="00D43BBB" w:rsidRPr="00A04969" w:rsidRDefault="00D43BBB" w:rsidP="002420B7">
      <w:pPr>
        <w:widowControl w:val="0"/>
        <w:autoSpaceDE w:val="0"/>
        <w:autoSpaceDN w:val="0"/>
        <w:adjustRightInd w:val="0"/>
        <w:rPr>
          <w:sz w:val="20"/>
          <w:szCs w:val="20"/>
          <w:lang w:val="en-US"/>
        </w:rPr>
      </w:pPr>
      <w:r w:rsidRPr="00A04969">
        <w:rPr>
          <w:rStyle w:val="FootnoteReference"/>
          <w:sz w:val="20"/>
          <w:szCs w:val="20"/>
        </w:rPr>
        <w:footnoteRef/>
      </w:r>
      <w:r w:rsidRPr="00A04969">
        <w:rPr>
          <w:sz w:val="20"/>
          <w:szCs w:val="20"/>
        </w:rPr>
        <w:t xml:space="preserve"> Prince, M. and Abele, F., </w:t>
      </w:r>
      <w:r w:rsidRPr="00A04969">
        <w:rPr>
          <w:i/>
          <w:sz w:val="20"/>
          <w:szCs w:val="20"/>
          <w:lang w:val="en-US"/>
        </w:rPr>
        <w:t>Paying for Self-Determination: Aboriginal Peoples, Self-Government, and Fiscal Relations in Canada</w:t>
      </w:r>
      <w:r w:rsidRPr="00A04969">
        <w:rPr>
          <w:sz w:val="20"/>
          <w:szCs w:val="20"/>
          <w:lang w:val="en-US"/>
        </w:rPr>
        <w:t xml:space="preserve">, sin, </w:t>
      </w:r>
      <w:r w:rsidRPr="00A04969">
        <w:rPr>
          <w:bCs/>
          <w:sz w:val="20"/>
          <w:szCs w:val="20"/>
          <w:lang w:val="en-US"/>
        </w:rPr>
        <w:t>Canada: The State of the Federation: Reconfiguring Aboriginal- State Relations at 256 (</w:t>
      </w:r>
      <w:r w:rsidRPr="00A04969">
        <w:rPr>
          <w:sz w:val="20"/>
          <w:szCs w:val="20"/>
          <w:lang w:val="en-US"/>
        </w:rPr>
        <w:t>Murphy, M., ed.</w:t>
      </w:r>
      <w:r w:rsidRPr="00A04969">
        <w:rPr>
          <w:bCs/>
          <w:sz w:val="20"/>
          <w:szCs w:val="20"/>
          <w:lang w:val="en-US"/>
        </w:rPr>
        <w:t xml:space="preserve"> 2005).</w:t>
      </w:r>
    </w:p>
  </w:footnote>
  <w:footnote w:id="437">
    <w:p w14:paraId="1DFFCC6E" w14:textId="641507FA"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proofErr w:type="gramStart"/>
      <w:r w:rsidRPr="00A04969">
        <w:rPr>
          <w:rFonts w:ascii="Times New Roman" w:hAnsi="Times New Roman" w:cs="Times New Roman"/>
          <w:i/>
          <w:sz w:val="20"/>
          <w:szCs w:val="20"/>
        </w:rPr>
        <w:t>Id</w:t>
      </w:r>
      <w:r w:rsidRPr="00A04969">
        <w:rPr>
          <w:rFonts w:ascii="Times New Roman" w:hAnsi="Times New Roman" w:cs="Times New Roman"/>
          <w:sz w:val="20"/>
          <w:szCs w:val="20"/>
        </w:rPr>
        <w:t>. at 252.</w:t>
      </w:r>
      <w:proofErr w:type="gramEnd"/>
    </w:p>
  </w:footnote>
  <w:footnote w:id="438">
    <w:p w14:paraId="17132D1D" w14:textId="37FC94D0" w:rsidR="00D43BBB" w:rsidRPr="00A04969" w:rsidRDefault="00D43BBB" w:rsidP="002420B7">
      <w:pPr>
        <w:pStyle w:val="FootnoteText"/>
        <w:rPr>
          <w:rFonts w:ascii="Times New Roman" w:hAnsi="Times New Roman" w:cs="Times New Roman"/>
          <w:sz w:val="20"/>
          <w:szCs w:val="20"/>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proofErr w:type="gramStart"/>
      <w:r w:rsidRPr="00A04969">
        <w:rPr>
          <w:rFonts w:ascii="Times New Roman" w:hAnsi="Times New Roman" w:cs="Times New Roman"/>
          <w:sz w:val="20"/>
          <w:szCs w:val="20"/>
        </w:rPr>
        <w:t xml:space="preserve">Lemelin et al., </w:t>
      </w:r>
      <w:r w:rsidRPr="00A04969">
        <w:rPr>
          <w:rFonts w:ascii="Times New Roman" w:hAnsi="Times New Roman" w:cs="Times New Roman"/>
          <w:i/>
          <w:sz w:val="20"/>
          <w:szCs w:val="20"/>
        </w:rPr>
        <w:t>supra</w:t>
      </w:r>
      <w:r w:rsidRPr="00A04969">
        <w:rPr>
          <w:rFonts w:ascii="Times New Roman" w:hAnsi="Times New Roman" w:cs="Times New Roman"/>
          <w:sz w:val="20"/>
          <w:szCs w:val="20"/>
        </w:rPr>
        <w:t xml:space="preserve"> n. </w:t>
      </w:r>
      <w:r w:rsidRPr="00A04969">
        <w:rPr>
          <w:rFonts w:ascii="Times New Roman" w:hAnsi="Times New Roman" w:cs="Times New Roman"/>
          <w:sz w:val="20"/>
          <w:szCs w:val="20"/>
        </w:rPr>
        <w:fldChar w:fldCharType="begin"/>
      </w:r>
      <w:r w:rsidRPr="00A04969">
        <w:rPr>
          <w:rFonts w:ascii="Times New Roman" w:hAnsi="Times New Roman" w:cs="Times New Roman"/>
          <w:sz w:val="20"/>
          <w:szCs w:val="20"/>
        </w:rPr>
        <w:instrText xml:space="preserve"> NOTEREF _Ref334010153 \h </w:instrText>
      </w:r>
      <w:r w:rsidRPr="00A04969">
        <w:rPr>
          <w:rFonts w:ascii="Times New Roman" w:hAnsi="Times New Roman" w:cs="Times New Roman"/>
          <w:sz w:val="20"/>
          <w:szCs w:val="20"/>
        </w:rPr>
      </w:r>
      <w:r w:rsidRPr="00A04969">
        <w:rPr>
          <w:rFonts w:ascii="Times New Roman" w:hAnsi="Times New Roman" w:cs="Times New Roman"/>
          <w:sz w:val="20"/>
          <w:szCs w:val="20"/>
        </w:rPr>
        <w:fldChar w:fldCharType="separate"/>
      </w:r>
      <w:r>
        <w:rPr>
          <w:rFonts w:ascii="Times New Roman" w:hAnsi="Times New Roman" w:cs="Times New Roman"/>
          <w:sz w:val="20"/>
          <w:szCs w:val="20"/>
        </w:rPr>
        <w:t>388</w:t>
      </w:r>
      <w:r w:rsidRPr="00A04969">
        <w:rPr>
          <w:rFonts w:ascii="Times New Roman" w:hAnsi="Times New Roman" w:cs="Times New Roman"/>
          <w:sz w:val="20"/>
          <w:szCs w:val="20"/>
        </w:rPr>
        <w:fldChar w:fldCharType="end"/>
      </w:r>
      <w:r w:rsidRPr="00A04969">
        <w:rPr>
          <w:rFonts w:ascii="Times New Roman" w:hAnsi="Times New Roman" w:cs="Times New Roman"/>
          <w:sz w:val="20"/>
          <w:szCs w:val="20"/>
        </w:rPr>
        <w:t xml:space="preserve"> </w:t>
      </w:r>
      <w:r w:rsidRPr="00A04969">
        <w:rPr>
          <w:rFonts w:ascii="Times New Roman" w:hAnsi="Times New Roman" w:cs="Times New Roman"/>
          <w:bCs/>
          <w:sz w:val="20"/>
          <w:szCs w:val="20"/>
        </w:rPr>
        <w:t xml:space="preserve">at </w:t>
      </w:r>
      <w:r w:rsidRPr="00A04969">
        <w:rPr>
          <w:rFonts w:ascii="Times New Roman" w:hAnsi="Times New Roman" w:cs="Times New Roman"/>
          <w:sz w:val="20"/>
          <w:szCs w:val="20"/>
        </w:rPr>
        <w:t>54.</w:t>
      </w:r>
      <w:proofErr w:type="gramEnd"/>
    </w:p>
  </w:footnote>
  <w:footnote w:id="439">
    <w:p w14:paraId="672353B6" w14:textId="7494D547" w:rsidR="00D43BBB" w:rsidRPr="00A04969" w:rsidRDefault="00D43BBB" w:rsidP="002420B7">
      <w:pPr>
        <w:pStyle w:val="FootnoteText"/>
        <w:rPr>
          <w:rFonts w:ascii="Times New Roman" w:hAnsi="Times New Roman" w:cs="Times New Roman"/>
          <w:sz w:val="20"/>
          <w:szCs w:val="20"/>
          <w:lang w:val="en-CA"/>
        </w:rPr>
      </w:pPr>
      <w:r w:rsidRPr="00A04969">
        <w:rPr>
          <w:rStyle w:val="FootnoteReference"/>
          <w:rFonts w:ascii="Times New Roman" w:hAnsi="Times New Roman" w:cs="Times New Roman"/>
          <w:sz w:val="20"/>
          <w:szCs w:val="20"/>
        </w:rPr>
        <w:footnoteRef/>
      </w:r>
      <w:r w:rsidRPr="00A04969">
        <w:rPr>
          <w:rFonts w:ascii="Times New Roman" w:hAnsi="Times New Roman" w:cs="Times New Roman"/>
          <w:sz w:val="20"/>
          <w:szCs w:val="20"/>
        </w:rPr>
        <w:t xml:space="preserve"> </w:t>
      </w:r>
      <w:r w:rsidRPr="00A04969">
        <w:rPr>
          <w:rFonts w:ascii="Times New Roman" w:hAnsi="Times New Roman" w:cs="Times New Roman"/>
          <w:sz w:val="20"/>
          <w:szCs w:val="20"/>
          <w:lang w:val="en-CA"/>
        </w:rPr>
        <w:t>Elizabeth Edmondson, Appendix 1, at 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05229"/>
    <w:multiLevelType w:val="hybridMultilevel"/>
    <w:tmpl w:val="BB704A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937CC0"/>
    <w:multiLevelType w:val="hybridMultilevel"/>
    <w:tmpl w:val="8F0436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6F77AF"/>
    <w:multiLevelType w:val="hybridMultilevel"/>
    <w:tmpl w:val="CA14058E"/>
    <w:lvl w:ilvl="0" w:tplc="38463D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CC300A"/>
    <w:multiLevelType w:val="hybridMultilevel"/>
    <w:tmpl w:val="702242C2"/>
    <w:lvl w:ilvl="0" w:tplc="B9B4C1E8">
      <w:start w:val="500"/>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DD1047"/>
    <w:multiLevelType w:val="hybridMultilevel"/>
    <w:tmpl w:val="D9A66A8A"/>
    <w:lvl w:ilvl="0" w:tplc="81C015FC">
      <w:start w:val="5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2B3E99"/>
    <w:multiLevelType w:val="hybridMultilevel"/>
    <w:tmpl w:val="2960C4F8"/>
    <w:lvl w:ilvl="0" w:tplc="04090015">
      <w:start w:val="2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86622A"/>
    <w:multiLevelType w:val="hybridMultilevel"/>
    <w:tmpl w:val="6CA6AC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160649"/>
    <w:multiLevelType w:val="hybridMultilevel"/>
    <w:tmpl w:val="4B0EC4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1A27E5F"/>
    <w:multiLevelType w:val="hybridMultilevel"/>
    <w:tmpl w:val="76922D46"/>
    <w:lvl w:ilvl="0" w:tplc="40C4FE7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B865F1"/>
    <w:multiLevelType w:val="hybridMultilevel"/>
    <w:tmpl w:val="E9641E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F37771"/>
    <w:multiLevelType w:val="hybridMultilevel"/>
    <w:tmpl w:val="E5C2CB9A"/>
    <w:lvl w:ilvl="0" w:tplc="61825578">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620D1D"/>
    <w:multiLevelType w:val="hybridMultilevel"/>
    <w:tmpl w:val="67CEE06E"/>
    <w:lvl w:ilvl="0" w:tplc="CF6635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587153"/>
    <w:multiLevelType w:val="hybridMultilevel"/>
    <w:tmpl w:val="8DC65CDE"/>
    <w:lvl w:ilvl="0" w:tplc="9582FFEC">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A506C0"/>
    <w:multiLevelType w:val="hybridMultilevel"/>
    <w:tmpl w:val="787E17DE"/>
    <w:lvl w:ilvl="0" w:tplc="E196C3B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C619C1"/>
    <w:multiLevelType w:val="hybridMultilevel"/>
    <w:tmpl w:val="7E8AD862"/>
    <w:lvl w:ilvl="0" w:tplc="5DC6EB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5656893"/>
    <w:multiLevelType w:val="hybridMultilevel"/>
    <w:tmpl w:val="3CBA0F78"/>
    <w:lvl w:ilvl="0" w:tplc="C23043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7572C5"/>
    <w:multiLevelType w:val="hybridMultilevel"/>
    <w:tmpl w:val="F4AC06E8"/>
    <w:lvl w:ilvl="0" w:tplc="D91A5B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DD7353"/>
    <w:multiLevelType w:val="hybridMultilevel"/>
    <w:tmpl w:val="2FAC234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FC77FA"/>
    <w:multiLevelType w:val="hybridMultilevel"/>
    <w:tmpl w:val="FBF6AB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587BC2"/>
    <w:multiLevelType w:val="hybridMultilevel"/>
    <w:tmpl w:val="9E9A05F6"/>
    <w:lvl w:ilvl="0" w:tplc="9582FFEC">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E41816"/>
    <w:multiLevelType w:val="hybridMultilevel"/>
    <w:tmpl w:val="9084A5A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A827FB3"/>
    <w:multiLevelType w:val="hybridMultilevel"/>
    <w:tmpl w:val="1EA63DEE"/>
    <w:lvl w:ilvl="0" w:tplc="01F673F6">
      <w:start w:val="1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326D1F"/>
    <w:multiLevelType w:val="hybridMultilevel"/>
    <w:tmpl w:val="8716CC90"/>
    <w:lvl w:ilvl="0" w:tplc="5EE03D6A">
      <w:start w:val="1"/>
      <w:numFmt w:val="upp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2F5A4C"/>
    <w:multiLevelType w:val="hybridMultilevel"/>
    <w:tmpl w:val="A476E3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C05793"/>
    <w:multiLevelType w:val="hybridMultilevel"/>
    <w:tmpl w:val="38A8D7C2"/>
    <w:lvl w:ilvl="0" w:tplc="CCF677FC">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68E6EC7"/>
    <w:multiLevelType w:val="hybridMultilevel"/>
    <w:tmpl w:val="5900A6BA"/>
    <w:lvl w:ilvl="0" w:tplc="B1E6594A">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916D60"/>
    <w:multiLevelType w:val="hybridMultilevel"/>
    <w:tmpl w:val="79AC61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5"/>
  </w:num>
  <w:num w:numId="3">
    <w:abstractNumId w:val="14"/>
  </w:num>
  <w:num w:numId="4">
    <w:abstractNumId w:val="23"/>
  </w:num>
  <w:num w:numId="5">
    <w:abstractNumId w:val="21"/>
  </w:num>
  <w:num w:numId="6">
    <w:abstractNumId w:val="12"/>
  </w:num>
  <w:num w:numId="7">
    <w:abstractNumId w:val="17"/>
  </w:num>
  <w:num w:numId="8">
    <w:abstractNumId w:val="20"/>
  </w:num>
  <w:num w:numId="9">
    <w:abstractNumId w:val="13"/>
  </w:num>
  <w:num w:numId="10">
    <w:abstractNumId w:val="16"/>
  </w:num>
  <w:num w:numId="11">
    <w:abstractNumId w:val="1"/>
  </w:num>
  <w:num w:numId="12">
    <w:abstractNumId w:val="22"/>
  </w:num>
  <w:num w:numId="13">
    <w:abstractNumId w:val="24"/>
  </w:num>
  <w:num w:numId="14">
    <w:abstractNumId w:val="11"/>
  </w:num>
  <w:num w:numId="15">
    <w:abstractNumId w:val="2"/>
  </w:num>
  <w:num w:numId="16">
    <w:abstractNumId w:val="5"/>
  </w:num>
  <w:num w:numId="17">
    <w:abstractNumId w:val="4"/>
  </w:num>
  <w:num w:numId="18">
    <w:abstractNumId w:val="10"/>
  </w:num>
  <w:num w:numId="19">
    <w:abstractNumId w:val="3"/>
  </w:num>
  <w:num w:numId="20">
    <w:abstractNumId w:val="26"/>
  </w:num>
  <w:num w:numId="21">
    <w:abstractNumId w:val="18"/>
  </w:num>
  <w:num w:numId="22">
    <w:abstractNumId w:val="8"/>
  </w:num>
  <w:num w:numId="23">
    <w:abstractNumId w:val="27"/>
  </w:num>
  <w:num w:numId="24">
    <w:abstractNumId w:val="9"/>
  </w:num>
  <w:num w:numId="25">
    <w:abstractNumId w:val="15"/>
  </w:num>
  <w:num w:numId="26">
    <w:abstractNumId w:val="19"/>
  </w:num>
  <w:num w:numId="27">
    <w:abstractNumId w:val="7"/>
  </w:num>
  <w:num w:numId="28">
    <w:abstractNumId w:val="6"/>
  </w:num>
  <w:numIdMacAtCleanup w:val="7"/>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zabeth Edmondson">
    <w15:presenceInfo w15:providerId="Windows Live" w15:userId="499810c081e9e6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BAD"/>
    <w:rsid w:val="0000012C"/>
    <w:rsid w:val="00000D5F"/>
    <w:rsid w:val="00002557"/>
    <w:rsid w:val="00003721"/>
    <w:rsid w:val="00004B4F"/>
    <w:rsid w:val="00004FB2"/>
    <w:rsid w:val="0000571B"/>
    <w:rsid w:val="000071CB"/>
    <w:rsid w:val="00011040"/>
    <w:rsid w:val="0001232F"/>
    <w:rsid w:val="00012E07"/>
    <w:rsid w:val="00012FF0"/>
    <w:rsid w:val="0001310F"/>
    <w:rsid w:val="000139E1"/>
    <w:rsid w:val="00017073"/>
    <w:rsid w:val="00020954"/>
    <w:rsid w:val="000212A1"/>
    <w:rsid w:val="00021565"/>
    <w:rsid w:val="0002396D"/>
    <w:rsid w:val="00023E00"/>
    <w:rsid w:val="00025644"/>
    <w:rsid w:val="000259C0"/>
    <w:rsid w:val="00025E4A"/>
    <w:rsid w:val="00027157"/>
    <w:rsid w:val="00027919"/>
    <w:rsid w:val="00031207"/>
    <w:rsid w:val="000314CD"/>
    <w:rsid w:val="0003733F"/>
    <w:rsid w:val="00040737"/>
    <w:rsid w:val="00041083"/>
    <w:rsid w:val="00042872"/>
    <w:rsid w:val="00042C3E"/>
    <w:rsid w:val="00043B4E"/>
    <w:rsid w:val="00043E87"/>
    <w:rsid w:val="000454B3"/>
    <w:rsid w:val="0004592D"/>
    <w:rsid w:val="00046182"/>
    <w:rsid w:val="00046BCE"/>
    <w:rsid w:val="00046F1E"/>
    <w:rsid w:val="000476F7"/>
    <w:rsid w:val="00047B00"/>
    <w:rsid w:val="00047D4F"/>
    <w:rsid w:val="00052CC7"/>
    <w:rsid w:val="00053D5B"/>
    <w:rsid w:val="000543D3"/>
    <w:rsid w:val="00054929"/>
    <w:rsid w:val="00054E0F"/>
    <w:rsid w:val="0005513D"/>
    <w:rsid w:val="00056E64"/>
    <w:rsid w:val="000606D1"/>
    <w:rsid w:val="00060B07"/>
    <w:rsid w:val="00062A03"/>
    <w:rsid w:val="000636FB"/>
    <w:rsid w:val="00063BE9"/>
    <w:rsid w:val="000644D5"/>
    <w:rsid w:val="00067186"/>
    <w:rsid w:val="0007015A"/>
    <w:rsid w:val="0007018F"/>
    <w:rsid w:val="000719B1"/>
    <w:rsid w:val="00073A33"/>
    <w:rsid w:val="000755A0"/>
    <w:rsid w:val="00076C73"/>
    <w:rsid w:val="00077CCB"/>
    <w:rsid w:val="00080629"/>
    <w:rsid w:val="000818B8"/>
    <w:rsid w:val="0008230A"/>
    <w:rsid w:val="0008416E"/>
    <w:rsid w:val="00084783"/>
    <w:rsid w:val="00084B3B"/>
    <w:rsid w:val="00085355"/>
    <w:rsid w:val="0008646E"/>
    <w:rsid w:val="0008661F"/>
    <w:rsid w:val="00086C94"/>
    <w:rsid w:val="00087C9E"/>
    <w:rsid w:val="0009275D"/>
    <w:rsid w:val="00092EC6"/>
    <w:rsid w:val="00093127"/>
    <w:rsid w:val="00093BC4"/>
    <w:rsid w:val="00093C5B"/>
    <w:rsid w:val="0009445A"/>
    <w:rsid w:val="0009528C"/>
    <w:rsid w:val="00096154"/>
    <w:rsid w:val="000964E5"/>
    <w:rsid w:val="00097425"/>
    <w:rsid w:val="00097655"/>
    <w:rsid w:val="000A00F9"/>
    <w:rsid w:val="000A2C30"/>
    <w:rsid w:val="000A602E"/>
    <w:rsid w:val="000A65F6"/>
    <w:rsid w:val="000A7173"/>
    <w:rsid w:val="000A7BBB"/>
    <w:rsid w:val="000B26FB"/>
    <w:rsid w:val="000B41B5"/>
    <w:rsid w:val="000B439B"/>
    <w:rsid w:val="000B4B74"/>
    <w:rsid w:val="000B5B24"/>
    <w:rsid w:val="000B74BA"/>
    <w:rsid w:val="000C0A98"/>
    <w:rsid w:val="000C0C44"/>
    <w:rsid w:val="000C18D3"/>
    <w:rsid w:val="000C1FA2"/>
    <w:rsid w:val="000C2D91"/>
    <w:rsid w:val="000C2F57"/>
    <w:rsid w:val="000C3239"/>
    <w:rsid w:val="000C3FC8"/>
    <w:rsid w:val="000C4208"/>
    <w:rsid w:val="000C60B5"/>
    <w:rsid w:val="000C69BC"/>
    <w:rsid w:val="000D0329"/>
    <w:rsid w:val="000D0462"/>
    <w:rsid w:val="000D0F9D"/>
    <w:rsid w:val="000D0FA4"/>
    <w:rsid w:val="000D15C6"/>
    <w:rsid w:val="000D1605"/>
    <w:rsid w:val="000D254B"/>
    <w:rsid w:val="000D41D6"/>
    <w:rsid w:val="000D4955"/>
    <w:rsid w:val="000D4B44"/>
    <w:rsid w:val="000D540D"/>
    <w:rsid w:val="000D6BCC"/>
    <w:rsid w:val="000E045D"/>
    <w:rsid w:val="000E3E2A"/>
    <w:rsid w:val="000E4F93"/>
    <w:rsid w:val="000E5AA3"/>
    <w:rsid w:val="000E5CF3"/>
    <w:rsid w:val="000E66A4"/>
    <w:rsid w:val="000F078F"/>
    <w:rsid w:val="000F1622"/>
    <w:rsid w:val="000F1B9D"/>
    <w:rsid w:val="000F2CFE"/>
    <w:rsid w:val="000F3ADC"/>
    <w:rsid w:val="000F559A"/>
    <w:rsid w:val="000F5F3D"/>
    <w:rsid w:val="000F6952"/>
    <w:rsid w:val="000F759F"/>
    <w:rsid w:val="00100257"/>
    <w:rsid w:val="00100B01"/>
    <w:rsid w:val="00100F6B"/>
    <w:rsid w:val="00101077"/>
    <w:rsid w:val="00101317"/>
    <w:rsid w:val="0010263C"/>
    <w:rsid w:val="00103238"/>
    <w:rsid w:val="00103821"/>
    <w:rsid w:val="00105AA6"/>
    <w:rsid w:val="00105E2F"/>
    <w:rsid w:val="00105E38"/>
    <w:rsid w:val="00105FE0"/>
    <w:rsid w:val="00106632"/>
    <w:rsid w:val="00106F06"/>
    <w:rsid w:val="00107A50"/>
    <w:rsid w:val="00107FC0"/>
    <w:rsid w:val="00111052"/>
    <w:rsid w:val="00111708"/>
    <w:rsid w:val="00111D54"/>
    <w:rsid w:val="00112437"/>
    <w:rsid w:val="001125BB"/>
    <w:rsid w:val="0011302E"/>
    <w:rsid w:val="0011323F"/>
    <w:rsid w:val="0011447B"/>
    <w:rsid w:val="00115AFB"/>
    <w:rsid w:val="001174E7"/>
    <w:rsid w:val="00120FC5"/>
    <w:rsid w:val="00124DE1"/>
    <w:rsid w:val="001252B1"/>
    <w:rsid w:val="00125569"/>
    <w:rsid w:val="001313E6"/>
    <w:rsid w:val="001318A9"/>
    <w:rsid w:val="001321C0"/>
    <w:rsid w:val="00132464"/>
    <w:rsid w:val="00133545"/>
    <w:rsid w:val="0014012B"/>
    <w:rsid w:val="00140561"/>
    <w:rsid w:val="001413A8"/>
    <w:rsid w:val="0014181E"/>
    <w:rsid w:val="00141ABF"/>
    <w:rsid w:val="0014377F"/>
    <w:rsid w:val="00144D73"/>
    <w:rsid w:val="00146BAF"/>
    <w:rsid w:val="001516A9"/>
    <w:rsid w:val="0015198A"/>
    <w:rsid w:val="00152ACB"/>
    <w:rsid w:val="0015403D"/>
    <w:rsid w:val="001545D5"/>
    <w:rsid w:val="00154E55"/>
    <w:rsid w:val="0015596B"/>
    <w:rsid w:val="00155A0E"/>
    <w:rsid w:val="00155A1B"/>
    <w:rsid w:val="00156819"/>
    <w:rsid w:val="00156F1D"/>
    <w:rsid w:val="00157C80"/>
    <w:rsid w:val="00160524"/>
    <w:rsid w:val="00161196"/>
    <w:rsid w:val="00161D0C"/>
    <w:rsid w:val="001623D1"/>
    <w:rsid w:val="001623DD"/>
    <w:rsid w:val="00163D66"/>
    <w:rsid w:val="00163EB7"/>
    <w:rsid w:val="001644F5"/>
    <w:rsid w:val="00164A78"/>
    <w:rsid w:val="00164D92"/>
    <w:rsid w:val="001659A1"/>
    <w:rsid w:val="0017048E"/>
    <w:rsid w:val="00172532"/>
    <w:rsid w:val="00175043"/>
    <w:rsid w:val="0017680A"/>
    <w:rsid w:val="00177321"/>
    <w:rsid w:val="00177BAB"/>
    <w:rsid w:val="00180CF5"/>
    <w:rsid w:val="00181222"/>
    <w:rsid w:val="001822D7"/>
    <w:rsid w:val="001825BF"/>
    <w:rsid w:val="00182781"/>
    <w:rsid w:val="00182918"/>
    <w:rsid w:val="00182A8E"/>
    <w:rsid w:val="00182BE6"/>
    <w:rsid w:val="001849A2"/>
    <w:rsid w:val="001907E9"/>
    <w:rsid w:val="001921DE"/>
    <w:rsid w:val="001923EF"/>
    <w:rsid w:val="00194BCC"/>
    <w:rsid w:val="001A010C"/>
    <w:rsid w:val="001A027A"/>
    <w:rsid w:val="001A0766"/>
    <w:rsid w:val="001A0D92"/>
    <w:rsid w:val="001A2036"/>
    <w:rsid w:val="001A3331"/>
    <w:rsid w:val="001A3ABC"/>
    <w:rsid w:val="001A3BEA"/>
    <w:rsid w:val="001A6DEF"/>
    <w:rsid w:val="001A75FF"/>
    <w:rsid w:val="001B067D"/>
    <w:rsid w:val="001B0E24"/>
    <w:rsid w:val="001B0EE3"/>
    <w:rsid w:val="001B1AA0"/>
    <w:rsid w:val="001B1BDA"/>
    <w:rsid w:val="001B1D9A"/>
    <w:rsid w:val="001B261E"/>
    <w:rsid w:val="001B2C31"/>
    <w:rsid w:val="001B31A7"/>
    <w:rsid w:val="001B3957"/>
    <w:rsid w:val="001B67EC"/>
    <w:rsid w:val="001C00DE"/>
    <w:rsid w:val="001C0339"/>
    <w:rsid w:val="001C12E0"/>
    <w:rsid w:val="001C2455"/>
    <w:rsid w:val="001C303C"/>
    <w:rsid w:val="001C431E"/>
    <w:rsid w:val="001C4D9F"/>
    <w:rsid w:val="001C5B6C"/>
    <w:rsid w:val="001D00C4"/>
    <w:rsid w:val="001D01FF"/>
    <w:rsid w:val="001D05F7"/>
    <w:rsid w:val="001D1F0C"/>
    <w:rsid w:val="001D413F"/>
    <w:rsid w:val="001D4DDA"/>
    <w:rsid w:val="001D4FFD"/>
    <w:rsid w:val="001D5CC8"/>
    <w:rsid w:val="001D740F"/>
    <w:rsid w:val="001E0DBC"/>
    <w:rsid w:val="001E14EC"/>
    <w:rsid w:val="001E1BF9"/>
    <w:rsid w:val="001E2BD8"/>
    <w:rsid w:val="001E37F7"/>
    <w:rsid w:val="001E5401"/>
    <w:rsid w:val="001E650F"/>
    <w:rsid w:val="001E6A27"/>
    <w:rsid w:val="001E75F6"/>
    <w:rsid w:val="001E7764"/>
    <w:rsid w:val="001F2506"/>
    <w:rsid w:val="001F3619"/>
    <w:rsid w:val="001F3F14"/>
    <w:rsid w:val="001F457F"/>
    <w:rsid w:val="001F57B9"/>
    <w:rsid w:val="001F57DD"/>
    <w:rsid w:val="001F780A"/>
    <w:rsid w:val="001F7900"/>
    <w:rsid w:val="001F7BD0"/>
    <w:rsid w:val="001F7EB7"/>
    <w:rsid w:val="002001C0"/>
    <w:rsid w:val="00202D24"/>
    <w:rsid w:val="00205346"/>
    <w:rsid w:val="002054E9"/>
    <w:rsid w:val="00205F3C"/>
    <w:rsid w:val="00207510"/>
    <w:rsid w:val="00210B3E"/>
    <w:rsid w:val="00211A97"/>
    <w:rsid w:val="0021295E"/>
    <w:rsid w:val="00213DE5"/>
    <w:rsid w:val="00215420"/>
    <w:rsid w:val="00215492"/>
    <w:rsid w:val="00216E4B"/>
    <w:rsid w:val="00222300"/>
    <w:rsid w:val="00223511"/>
    <w:rsid w:val="002248E7"/>
    <w:rsid w:val="002312CB"/>
    <w:rsid w:val="00232697"/>
    <w:rsid w:val="002327AB"/>
    <w:rsid w:val="0023314C"/>
    <w:rsid w:val="00233881"/>
    <w:rsid w:val="00233BC4"/>
    <w:rsid w:val="00235AE7"/>
    <w:rsid w:val="002376E2"/>
    <w:rsid w:val="00241D82"/>
    <w:rsid w:val="002420B7"/>
    <w:rsid w:val="0024293B"/>
    <w:rsid w:val="0024440D"/>
    <w:rsid w:val="00244E83"/>
    <w:rsid w:val="00245C0E"/>
    <w:rsid w:val="0024650A"/>
    <w:rsid w:val="002479B7"/>
    <w:rsid w:val="0025246B"/>
    <w:rsid w:val="00253511"/>
    <w:rsid w:val="0025630B"/>
    <w:rsid w:val="00256379"/>
    <w:rsid w:val="00256A22"/>
    <w:rsid w:val="00256AC8"/>
    <w:rsid w:val="00256CF2"/>
    <w:rsid w:val="002575F7"/>
    <w:rsid w:val="00257969"/>
    <w:rsid w:val="00260200"/>
    <w:rsid w:val="0026130A"/>
    <w:rsid w:val="002614F7"/>
    <w:rsid w:val="002619E7"/>
    <w:rsid w:val="002626E9"/>
    <w:rsid w:val="00262DEA"/>
    <w:rsid w:val="00264677"/>
    <w:rsid w:val="00264737"/>
    <w:rsid w:val="00264E6E"/>
    <w:rsid w:val="0026500B"/>
    <w:rsid w:val="00266592"/>
    <w:rsid w:val="002666D8"/>
    <w:rsid w:val="00266CEB"/>
    <w:rsid w:val="00266D2F"/>
    <w:rsid w:val="002703BA"/>
    <w:rsid w:val="0027083B"/>
    <w:rsid w:val="00271A97"/>
    <w:rsid w:val="00273C44"/>
    <w:rsid w:val="00275A07"/>
    <w:rsid w:val="00276389"/>
    <w:rsid w:val="0027664E"/>
    <w:rsid w:val="00280115"/>
    <w:rsid w:val="0028185F"/>
    <w:rsid w:val="00283485"/>
    <w:rsid w:val="00284CC0"/>
    <w:rsid w:val="00284D39"/>
    <w:rsid w:val="002868FA"/>
    <w:rsid w:val="002870F8"/>
    <w:rsid w:val="002914BA"/>
    <w:rsid w:val="0029156E"/>
    <w:rsid w:val="00291EDB"/>
    <w:rsid w:val="002924E8"/>
    <w:rsid w:val="002925AF"/>
    <w:rsid w:val="0029464B"/>
    <w:rsid w:val="002948DF"/>
    <w:rsid w:val="00294A66"/>
    <w:rsid w:val="0029561A"/>
    <w:rsid w:val="00297C61"/>
    <w:rsid w:val="002A0950"/>
    <w:rsid w:val="002A2147"/>
    <w:rsid w:val="002A2915"/>
    <w:rsid w:val="002A51F0"/>
    <w:rsid w:val="002A53A0"/>
    <w:rsid w:val="002A6336"/>
    <w:rsid w:val="002A7374"/>
    <w:rsid w:val="002A7B38"/>
    <w:rsid w:val="002A7D73"/>
    <w:rsid w:val="002B0DB2"/>
    <w:rsid w:val="002B1A30"/>
    <w:rsid w:val="002B3371"/>
    <w:rsid w:val="002B3384"/>
    <w:rsid w:val="002B34D3"/>
    <w:rsid w:val="002B3646"/>
    <w:rsid w:val="002B3D71"/>
    <w:rsid w:val="002B441E"/>
    <w:rsid w:val="002B4A06"/>
    <w:rsid w:val="002B525E"/>
    <w:rsid w:val="002B5728"/>
    <w:rsid w:val="002B57E4"/>
    <w:rsid w:val="002B7D9A"/>
    <w:rsid w:val="002C08E8"/>
    <w:rsid w:val="002C23BC"/>
    <w:rsid w:val="002C4FCF"/>
    <w:rsid w:val="002C5303"/>
    <w:rsid w:val="002C57CB"/>
    <w:rsid w:val="002C6082"/>
    <w:rsid w:val="002C6BA6"/>
    <w:rsid w:val="002C71BC"/>
    <w:rsid w:val="002C72D9"/>
    <w:rsid w:val="002D09E9"/>
    <w:rsid w:val="002D10B2"/>
    <w:rsid w:val="002D138A"/>
    <w:rsid w:val="002D17B9"/>
    <w:rsid w:val="002D27EA"/>
    <w:rsid w:val="002D3E70"/>
    <w:rsid w:val="002D443D"/>
    <w:rsid w:val="002D48A2"/>
    <w:rsid w:val="002D52B1"/>
    <w:rsid w:val="002E1B6B"/>
    <w:rsid w:val="002E1CC4"/>
    <w:rsid w:val="002E284C"/>
    <w:rsid w:val="002E2E8F"/>
    <w:rsid w:val="002E317F"/>
    <w:rsid w:val="002E387E"/>
    <w:rsid w:val="002E4BF3"/>
    <w:rsid w:val="002E6A3A"/>
    <w:rsid w:val="002E6FD8"/>
    <w:rsid w:val="002E7473"/>
    <w:rsid w:val="002F061A"/>
    <w:rsid w:val="002F5603"/>
    <w:rsid w:val="002F61F6"/>
    <w:rsid w:val="002F68E8"/>
    <w:rsid w:val="002F6F0F"/>
    <w:rsid w:val="00300171"/>
    <w:rsid w:val="00300343"/>
    <w:rsid w:val="003006E2"/>
    <w:rsid w:val="00301A0E"/>
    <w:rsid w:val="00302784"/>
    <w:rsid w:val="00303F00"/>
    <w:rsid w:val="003043D7"/>
    <w:rsid w:val="00306B00"/>
    <w:rsid w:val="00311CC8"/>
    <w:rsid w:val="00312D52"/>
    <w:rsid w:val="00313A0A"/>
    <w:rsid w:val="003169BB"/>
    <w:rsid w:val="00317B03"/>
    <w:rsid w:val="00320B32"/>
    <w:rsid w:val="0032119C"/>
    <w:rsid w:val="00321354"/>
    <w:rsid w:val="00321A43"/>
    <w:rsid w:val="0032237D"/>
    <w:rsid w:val="00323604"/>
    <w:rsid w:val="003258CE"/>
    <w:rsid w:val="003309C7"/>
    <w:rsid w:val="00330FEF"/>
    <w:rsid w:val="003316E0"/>
    <w:rsid w:val="003317E8"/>
    <w:rsid w:val="00333D28"/>
    <w:rsid w:val="003340CA"/>
    <w:rsid w:val="00334BEC"/>
    <w:rsid w:val="00335A80"/>
    <w:rsid w:val="00336C4C"/>
    <w:rsid w:val="00340C57"/>
    <w:rsid w:val="003411FA"/>
    <w:rsid w:val="0034187D"/>
    <w:rsid w:val="00341990"/>
    <w:rsid w:val="0034334E"/>
    <w:rsid w:val="0034550A"/>
    <w:rsid w:val="00345836"/>
    <w:rsid w:val="00350E86"/>
    <w:rsid w:val="003510D9"/>
    <w:rsid w:val="003519EA"/>
    <w:rsid w:val="00354276"/>
    <w:rsid w:val="00355CD2"/>
    <w:rsid w:val="00355D60"/>
    <w:rsid w:val="00355E4E"/>
    <w:rsid w:val="003579B3"/>
    <w:rsid w:val="00357ABB"/>
    <w:rsid w:val="00360872"/>
    <w:rsid w:val="00361655"/>
    <w:rsid w:val="00361950"/>
    <w:rsid w:val="003621A1"/>
    <w:rsid w:val="00362E75"/>
    <w:rsid w:val="00363EBD"/>
    <w:rsid w:val="0036417A"/>
    <w:rsid w:val="003651A8"/>
    <w:rsid w:val="003664A7"/>
    <w:rsid w:val="00367040"/>
    <w:rsid w:val="00370B6C"/>
    <w:rsid w:val="00372DF2"/>
    <w:rsid w:val="0037596B"/>
    <w:rsid w:val="00375C59"/>
    <w:rsid w:val="003767F7"/>
    <w:rsid w:val="0037729F"/>
    <w:rsid w:val="003778C6"/>
    <w:rsid w:val="00380ED5"/>
    <w:rsid w:val="00381DBA"/>
    <w:rsid w:val="0038213F"/>
    <w:rsid w:val="00382343"/>
    <w:rsid w:val="00382CD4"/>
    <w:rsid w:val="00383F95"/>
    <w:rsid w:val="00383FA4"/>
    <w:rsid w:val="003871B8"/>
    <w:rsid w:val="00390757"/>
    <w:rsid w:val="003907E8"/>
    <w:rsid w:val="003928AA"/>
    <w:rsid w:val="00393B8C"/>
    <w:rsid w:val="00395DBB"/>
    <w:rsid w:val="00397AF8"/>
    <w:rsid w:val="00397EDF"/>
    <w:rsid w:val="003A0646"/>
    <w:rsid w:val="003A1649"/>
    <w:rsid w:val="003A184B"/>
    <w:rsid w:val="003A4A9B"/>
    <w:rsid w:val="003A4B35"/>
    <w:rsid w:val="003A4CA0"/>
    <w:rsid w:val="003A51C3"/>
    <w:rsid w:val="003A5634"/>
    <w:rsid w:val="003A5813"/>
    <w:rsid w:val="003A7D7D"/>
    <w:rsid w:val="003B0187"/>
    <w:rsid w:val="003B05A5"/>
    <w:rsid w:val="003B07D6"/>
    <w:rsid w:val="003B0D5D"/>
    <w:rsid w:val="003B0FB9"/>
    <w:rsid w:val="003B1979"/>
    <w:rsid w:val="003B2BF4"/>
    <w:rsid w:val="003B385C"/>
    <w:rsid w:val="003B42AC"/>
    <w:rsid w:val="003B4F5F"/>
    <w:rsid w:val="003B53A0"/>
    <w:rsid w:val="003B57D9"/>
    <w:rsid w:val="003B73DD"/>
    <w:rsid w:val="003C0B92"/>
    <w:rsid w:val="003C2180"/>
    <w:rsid w:val="003C25EA"/>
    <w:rsid w:val="003C352B"/>
    <w:rsid w:val="003C38B2"/>
    <w:rsid w:val="003C4128"/>
    <w:rsid w:val="003C45F4"/>
    <w:rsid w:val="003C4933"/>
    <w:rsid w:val="003C50B7"/>
    <w:rsid w:val="003C6FE4"/>
    <w:rsid w:val="003D0B45"/>
    <w:rsid w:val="003D4B2C"/>
    <w:rsid w:val="003D4C84"/>
    <w:rsid w:val="003D5234"/>
    <w:rsid w:val="003D758A"/>
    <w:rsid w:val="003E0CAA"/>
    <w:rsid w:val="003E2866"/>
    <w:rsid w:val="003E3218"/>
    <w:rsid w:val="003E519D"/>
    <w:rsid w:val="003E5425"/>
    <w:rsid w:val="003E5459"/>
    <w:rsid w:val="003E6336"/>
    <w:rsid w:val="003E6787"/>
    <w:rsid w:val="003E6ED5"/>
    <w:rsid w:val="003E76B1"/>
    <w:rsid w:val="003E7F74"/>
    <w:rsid w:val="003E7FA6"/>
    <w:rsid w:val="003F2425"/>
    <w:rsid w:val="003F3562"/>
    <w:rsid w:val="003F4599"/>
    <w:rsid w:val="003F5D99"/>
    <w:rsid w:val="003F6111"/>
    <w:rsid w:val="003F65F7"/>
    <w:rsid w:val="003F68A2"/>
    <w:rsid w:val="003F715A"/>
    <w:rsid w:val="0040058A"/>
    <w:rsid w:val="00401A9E"/>
    <w:rsid w:val="0040207F"/>
    <w:rsid w:val="00402274"/>
    <w:rsid w:val="00402C32"/>
    <w:rsid w:val="00403450"/>
    <w:rsid w:val="004035DD"/>
    <w:rsid w:val="00404301"/>
    <w:rsid w:val="00404638"/>
    <w:rsid w:val="00404EDC"/>
    <w:rsid w:val="004057F3"/>
    <w:rsid w:val="00405FD5"/>
    <w:rsid w:val="00410FBC"/>
    <w:rsid w:val="004111CE"/>
    <w:rsid w:val="00411F5D"/>
    <w:rsid w:val="00412A43"/>
    <w:rsid w:val="00413EAC"/>
    <w:rsid w:val="00414678"/>
    <w:rsid w:val="00414B43"/>
    <w:rsid w:val="00415604"/>
    <w:rsid w:val="00415B4E"/>
    <w:rsid w:val="00416B6C"/>
    <w:rsid w:val="00417103"/>
    <w:rsid w:val="004211D6"/>
    <w:rsid w:val="00422295"/>
    <w:rsid w:val="004224E2"/>
    <w:rsid w:val="004230AC"/>
    <w:rsid w:val="0042317C"/>
    <w:rsid w:val="004233CD"/>
    <w:rsid w:val="004238C6"/>
    <w:rsid w:val="00424AE8"/>
    <w:rsid w:val="004266EE"/>
    <w:rsid w:val="0042672C"/>
    <w:rsid w:val="00426EB4"/>
    <w:rsid w:val="0042786B"/>
    <w:rsid w:val="00427FE9"/>
    <w:rsid w:val="0043083B"/>
    <w:rsid w:val="00432107"/>
    <w:rsid w:val="00432922"/>
    <w:rsid w:val="00432B2F"/>
    <w:rsid w:val="00433AF4"/>
    <w:rsid w:val="0043410B"/>
    <w:rsid w:val="00434EFC"/>
    <w:rsid w:val="004361F1"/>
    <w:rsid w:val="0043651B"/>
    <w:rsid w:val="004369BD"/>
    <w:rsid w:val="004378B5"/>
    <w:rsid w:val="00437C69"/>
    <w:rsid w:val="00437C73"/>
    <w:rsid w:val="00440094"/>
    <w:rsid w:val="004409B4"/>
    <w:rsid w:val="0044196D"/>
    <w:rsid w:val="00443547"/>
    <w:rsid w:val="00443F63"/>
    <w:rsid w:val="00444F94"/>
    <w:rsid w:val="00445803"/>
    <w:rsid w:val="004466FA"/>
    <w:rsid w:val="00446B0A"/>
    <w:rsid w:val="004476B7"/>
    <w:rsid w:val="0045119D"/>
    <w:rsid w:val="004525C2"/>
    <w:rsid w:val="00452B79"/>
    <w:rsid w:val="00453786"/>
    <w:rsid w:val="00453B78"/>
    <w:rsid w:val="00456602"/>
    <w:rsid w:val="00457012"/>
    <w:rsid w:val="00457E75"/>
    <w:rsid w:val="00461001"/>
    <w:rsid w:val="004611FF"/>
    <w:rsid w:val="004649A3"/>
    <w:rsid w:val="00464FF6"/>
    <w:rsid w:val="004664FB"/>
    <w:rsid w:val="00470F4E"/>
    <w:rsid w:val="00472471"/>
    <w:rsid w:val="00472EFA"/>
    <w:rsid w:val="0047313B"/>
    <w:rsid w:val="004735A7"/>
    <w:rsid w:val="004741A4"/>
    <w:rsid w:val="00475651"/>
    <w:rsid w:val="00475F68"/>
    <w:rsid w:val="00475F8E"/>
    <w:rsid w:val="00480F39"/>
    <w:rsid w:val="00482538"/>
    <w:rsid w:val="00482EEF"/>
    <w:rsid w:val="00483BA0"/>
    <w:rsid w:val="00484BF3"/>
    <w:rsid w:val="00484E52"/>
    <w:rsid w:val="004866F1"/>
    <w:rsid w:val="004902B1"/>
    <w:rsid w:val="00490CA5"/>
    <w:rsid w:val="0049140D"/>
    <w:rsid w:val="0049176A"/>
    <w:rsid w:val="004917CB"/>
    <w:rsid w:val="0049214E"/>
    <w:rsid w:val="0049502D"/>
    <w:rsid w:val="00495A14"/>
    <w:rsid w:val="00495A55"/>
    <w:rsid w:val="00495C92"/>
    <w:rsid w:val="00495DC8"/>
    <w:rsid w:val="00495F8A"/>
    <w:rsid w:val="004961DA"/>
    <w:rsid w:val="00496270"/>
    <w:rsid w:val="00496A21"/>
    <w:rsid w:val="00496D54"/>
    <w:rsid w:val="004A0650"/>
    <w:rsid w:val="004A0973"/>
    <w:rsid w:val="004A0BB2"/>
    <w:rsid w:val="004A0F03"/>
    <w:rsid w:val="004A3550"/>
    <w:rsid w:val="004A44F2"/>
    <w:rsid w:val="004B16D1"/>
    <w:rsid w:val="004B3424"/>
    <w:rsid w:val="004B48D3"/>
    <w:rsid w:val="004B552D"/>
    <w:rsid w:val="004B5F85"/>
    <w:rsid w:val="004B68F6"/>
    <w:rsid w:val="004C0474"/>
    <w:rsid w:val="004C0D75"/>
    <w:rsid w:val="004C13F5"/>
    <w:rsid w:val="004C142D"/>
    <w:rsid w:val="004C1E11"/>
    <w:rsid w:val="004C2BA3"/>
    <w:rsid w:val="004C3088"/>
    <w:rsid w:val="004C40F9"/>
    <w:rsid w:val="004C600F"/>
    <w:rsid w:val="004C6A81"/>
    <w:rsid w:val="004C6EF4"/>
    <w:rsid w:val="004C7C77"/>
    <w:rsid w:val="004D1692"/>
    <w:rsid w:val="004D2959"/>
    <w:rsid w:val="004D2D99"/>
    <w:rsid w:val="004D3CF8"/>
    <w:rsid w:val="004D5CC8"/>
    <w:rsid w:val="004D6623"/>
    <w:rsid w:val="004D6BCA"/>
    <w:rsid w:val="004D770F"/>
    <w:rsid w:val="004E015E"/>
    <w:rsid w:val="004E3A68"/>
    <w:rsid w:val="004E3C74"/>
    <w:rsid w:val="004E49BA"/>
    <w:rsid w:val="004E5A3A"/>
    <w:rsid w:val="004E6415"/>
    <w:rsid w:val="004E7389"/>
    <w:rsid w:val="004E74A5"/>
    <w:rsid w:val="004E7791"/>
    <w:rsid w:val="004E7ABE"/>
    <w:rsid w:val="004F05A7"/>
    <w:rsid w:val="004F0825"/>
    <w:rsid w:val="004F20B6"/>
    <w:rsid w:val="004F3F3F"/>
    <w:rsid w:val="004F4628"/>
    <w:rsid w:val="004F471E"/>
    <w:rsid w:val="004F4B12"/>
    <w:rsid w:val="004F5497"/>
    <w:rsid w:val="004F6129"/>
    <w:rsid w:val="004F6975"/>
    <w:rsid w:val="004F6C40"/>
    <w:rsid w:val="004F6C8A"/>
    <w:rsid w:val="004F6D06"/>
    <w:rsid w:val="004F74DC"/>
    <w:rsid w:val="0050046D"/>
    <w:rsid w:val="00501496"/>
    <w:rsid w:val="00501549"/>
    <w:rsid w:val="005023AE"/>
    <w:rsid w:val="00505094"/>
    <w:rsid w:val="00505A99"/>
    <w:rsid w:val="00506245"/>
    <w:rsid w:val="00506AF6"/>
    <w:rsid w:val="00506E58"/>
    <w:rsid w:val="005104BC"/>
    <w:rsid w:val="0051126C"/>
    <w:rsid w:val="005122C6"/>
    <w:rsid w:val="00513C83"/>
    <w:rsid w:val="00513CA0"/>
    <w:rsid w:val="0051496C"/>
    <w:rsid w:val="00515492"/>
    <w:rsid w:val="0051590A"/>
    <w:rsid w:val="00515A8D"/>
    <w:rsid w:val="005163D0"/>
    <w:rsid w:val="0051740D"/>
    <w:rsid w:val="005205DF"/>
    <w:rsid w:val="00520625"/>
    <w:rsid w:val="00521524"/>
    <w:rsid w:val="005219B0"/>
    <w:rsid w:val="00521A4B"/>
    <w:rsid w:val="005225D9"/>
    <w:rsid w:val="005249DC"/>
    <w:rsid w:val="00524A97"/>
    <w:rsid w:val="00524B8B"/>
    <w:rsid w:val="00524FD2"/>
    <w:rsid w:val="00526625"/>
    <w:rsid w:val="00527229"/>
    <w:rsid w:val="00527DEB"/>
    <w:rsid w:val="00530CA1"/>
    <w:rsid w:val="00531405"/>
    <w:rsid w:val="00531566"/>
    <w:rsid w:val="00532ECB"/>
    <w:rsid w:val="00533898"/>
    <w:rsid w:val="005355EF"/>
    <w:rsid w:val="0053582A"/>
    <w:rsid w:val="00536EC3"/>
    <w:rsid w:val="00537E26"/>
    <w:rsid w:val="00541191"/>
    <w:rsid w:val="005421B3"/>
    <w:rsid w:val="00545B7C"/>
    <w:rsid w:val="0054620E"/>
    <w:rsid w:val="005462D5"/>
    <w:rsid w:val="00547C68"/>
    <w:rsid w:val="00547FE3"/>
    <w:rsid w:val="005505E8"/>
    <w:rsid w:val="00550D86"/>
    <w:rsid w:val="00551084"/>
    <w:rsid w:val="00551478"/>
    <w:rsid w:val="005519B1"/>
    <w:rsid w:val="00551F13"/>
    <w:rsid w:val="0055425C"/>
    <w:rsid w:val="00555AAF"/>
    <w:rsid w:val="005561A0"/>
    <w:rsid w:val="00556719"/>
    <w:rsid w:val="005576C2"/>
    <w:rsid w:val="00557EBE"/>
    <w:rsid w:val="005612A0"/>
    <w:rsid w:val="00562689"/>
    <w:rsid w:val="00563D4B"/>
    <w:rsid w:val="00567231"/>
    <w:rsid w:val="005674C1"/>
    <w:rsid w:val="00567E2E"/>
    <w:rsid w:val="005710E6"/>
    <w:rsid w:val="00576936"/>
    <w:rsid w:val="00576DA1"/>
    <w:rsid w:val="00580411"/>
    <w:rsid w:val="00581B21"/>
    <w:rsid w:val="005836B9"/>
    <w:rsid w:val="005839F0"/>
    <w:rsid w:val="00584CA4"/>
    <w:rsid w:val="00585438"/>
    <w:rsid w:val="00587236"/>
    <w:rsid w:val="005927F1"/>
    <w:rsid w:val="00592C46"/>
    <w:rsid w:val="00592EB2"/>
    <w:rsid w:val="00592F0F"/>
    <w:rsid w:val="00593714"/>
    <w:rsid w:val="00593FB6"/>
    <w:rsid w:val="00594E1A"/>
    <w:rsid w:val="00595C43"/>
    <w:rsid w:val="00595C64"/>
    <w:rsid w:val="005963AB"/>
    <w:rsid w:val="0059762E"/>
    <w:rsid w:val="005A0849"/>
    <w:rsid w:val="005A15FA"/>
    <w:rsid w:val="005A23C2"/>
    <w:rsid w:val="005A2DBE"/>
    <w:rsid w:val="005A635B"/>
    <w:rsid w:val="005A6CC8"/>
    <w:rsid w:val="005A7184"/>
    <w:rsid w:val="005A7A26"/>
    <w:rsid w:val="005B1FB0"/>
    <w:rsid w:val="005B2396"/>
    <w:rsid w:val="005B2C6C"/>
    <w:rsid w:val="005B3538"/>
    <w:rsid w:val="005B3C66"/>
    <w:rsid w:val="005B3C88"/>
    <w:rsid w:val="005B6430"/>
    <w:rsid w:val="005B794C"/>
    <w:rsid w:val="005C1155"/>
    <w:rsid w:val="005C1E7D"/>
    <w:rsid w:val="005C1EC4"/>
    <w:rsid w:val="005C2046"/>
    <w:rsid w:val="005C2381"/>
    <w:rsid w:val="005C53F6"/>
    <w:rsid w:val="005C5E48"/>
    <w:rsid w:val="005C5ED0"/>
    <w:rsid w:val="005C6416"/>
    <w:rsid w:val="005C7065"/>
    <w:rsid w:val="005C7873"/>
    <w:rsid w:val="005D082C"/>
    <w:rsid w:val="005D1421"/>
    <w:rsid w:val="005D3179"/>
    <w:rsid w:val="005D5E6F"/>
    <w:rsid w:val="005D605A"/>
    <w:rsid w:val="005D6BDB"/>
    <w:rsid w:val="005E09FB"/>
    <w:rsid w:val="005E3736"/>
    <w:rsid w:val="005E3F8E"/>
    <w:rsid w:val="005E58DE"/>
    <w:rsid w:val="005E616C"/>
    <w:rsid w:val="005E6E51"/>
    <w:rsid w:val="005E70E5"/>
    <w:rsid w:val="005E73EC"/>
    <w:rsid w:val="005E7ABE"/>
    <w:rsid w:val="005F221F"/>
    <w:rsid w:val="005F37AF"/>
    <w:rsid w:val="005F499E"/>
    <w:rsid w:val="005F527C"/>
    <w:rsid w:val="005F5AB6"/>
    <w:rsid w:val="005F760E"/>
    <w:rsid w:val="0060141F"/>
    <w:rsid w:val="00602365"/>
    <w:rsid w:val="00603143"/>
    <w:rsid w:val="00604034"/>
    <w:rsid w:val="006059A4"/>
    <w:rsid w:val="00606108"/>
    <w:rsid w:val="0060657E"/>
    <w:rsid w:val="0061094C"/>
    <w:rsid w:val="0061243C"/>
    <w:rsid w:val="006132AA"/>
    <w:rsid w:val="00613817"/>
    <w:rsid w:val="0061428B"/>
    <w:rsid w:val="00615DBC"/>
    <w:rsid w:val="0061727C"/>
    <w:rsid w:val="00617760"/>
    <w:rsid w:val="00617E99"/>
    <w:rsid w:val="00617FF5"/>
    <w:rsid w:val="00620A99"/>
    <w:rsid w:val="0062231C"/>
    <w:rsid w:val="006227EE"/>
    <w:rsid w:val="00622C9F"/>
    <w:rsid w:val="00622DA9"/>
    <w:rsid w:val="0062401F"/>
    <w:rsid w:val="00625409"/>
    <w:rsid w:val="00626D07"/>
    <w:rsid w:val="00627604"/>
    <w:rsid w:val="006318A8"/>
    <w:rsid w:val="00631C09"/>
    <w:rsid w:val="00632957"/>
    <w:rsid w:val="00634CCC"/>
    <w:rsid w:val="00635582"/>
    <w:rsid w:val="00635CB4"/>
    <w:rsid w:val="00636170"/>
    <w:rsid w:val="00636B10"/>
    <w:rsid w:val="00636E7D"/>
    <w:rsid w:val="00640D06"/>
    <w:rsid w:val="00641682"/>
    <w:rsid w:val="00642CED"/>
    <w:rsid w:val="006466B9"/>
    <w:rsid w:val="006473C6"/>
    <w:rsid w:val="00647528"/>
    <w:rsid w:val="00650122"/>
    <w:rsid w:val="00650146"/>
    <w:rsid w:val="00650442"/>
    <w:rsid w:val="006536C0"/>
    <w:rsid w:val="006542A8"/>
    <w:rsid w:val="00654515"/>
    <w:rsid w:val="00654588"/>
    <w:rsid w:val="006556CC"/>
    <w:rsid w:val="006564D9"/>
    <w:rsid w:val="00656DB4"/>
    <w:rsid w:val="00657559"/>
    <w:rsid w:val="0066054E"/>
    <w:rsid w:val="00662C0C"/>
    <w:rsid w:val="00665710"/>
    <w:rsid w:val="00665B66"/>
    <w:rsid w:val="00671128"/>
    <w:rsid w:val="006723D4"/>
    <w:rsid w:val="006742B9"/>
    <w:rsid w:val="006761CA"/>
    <w:rsid w:val="006777EB"/>
    <w:rsid w:val="00677929"/>
    <w:rsid w:val="0068062D"/>
    <w:rsid w:val="00681CC5"/>
    <w:rsid w:val="006836AB"/>
    <w:rsid w:val="006853B4"/>
    <w:rsid w:val="006858BC"/>
    <w:rsid w:val="00686084"/>
    <w:rsid w:val="00686315"/>
    <w:rsid w:val="00686640"/>
    <w:rsid w:val="0068679A"/>
    <w:rsid w:val="00686D7E"/>
    <w:rsid w:val="00690051"/>
    <w:rsid w:val="0069355E"/>
    <w:rsid w:val="00695A56"/>
    <w:rsid w:val="006965F9"/>
    <w:rsid w:val="0069678E"/>
    <w:rsid w:val="00696886"/>
    <w:rsid w:val="0069787D"/>
    <w:rsid w:val="006A04B7"/>
    <w:rsid w:val="006A0CD1"/>
    <w:rsid w:val="006A1A19"/>
    <w:rsid w:val="006A204B"/>
    <w:rsid w:val="006A2AEC"/>
    <w:rsid w:val="006A31EE"/>
    <w:rsid w:val="006A5024"/>
    <w:rsid w:val="006A59BE"/>
    <w:rsid w:val="006A6BF2"/>
    <w:rsid w:val="006A7756"/>
    <w:rsid w:val="006B0034"/>
    <w:rsid w:val="006B149C"/>
    <w:rsid w:val="006B1BA8"/>
    <w:rsid w:val="006B2ECA"/>
    <w:rsid w:val="006B382E"/>
    <w:rsid w:val="006B402F"/>
    <w:rsid w:val="006B6FAE"/>
    <w:rsid w:val="006C116E"/>
    <w:rsid w:val="006C3FA7"/>
    <w:rsid w:val="006C491D"/>
    <w:rsid w:val="006C4FD6"/>
    <w:rsid w:val="006C583E"/>
    <w:rsid w:val="006C5B0B"/>
    <w:rsid w:val="006C674A"/>
    <w:rsid w:val="006C68EB"/>
    <w:rsid w:val="006D0171"/>
    <w:rsid w:val="006D029F"/>
    <w:rsid w:val="006D0D81"/>
    <w:rsid w:val="006D5268"/>
    <w:rsid w:val="006D5C83"/>
    <w:rsid w:val="006E0518"/>
    <w:rsid w:val="006E0E79"/>
    <w:rsid w:val="006E129E"/>
    <w:rsid w:val="006E188E"/>
    <w:rsid w:val="006E2495"/>
    <w:rsid w:val="006E3884"/>
    <w:rsid w:val="006E3895"/>
    <w:rsid w:val="006E3A23"/>
    <w:rsid w:val="006E4D7C"/>
    <w:rsid w:val="006E5846"/>
    <w:rsid w:val="006E6F10"/>
    <w:rsid w:val="006E7DC6"/>
    <w:rsid w:val="006F0D21"/>
    <w:rsid w:val="006F1339"/>
    <w:rsid w:val="006F17A5"/>
    <w:rsid w:val="006F18FE"/>
    <w:rsid w:val="006F24E8"/>
    <w:rsid w:val="006F2A45"/>
    <w:rsid w:val="006F2C88"/>
    <w:rsid w:val="006F325E"/>
    <w:rsid w:val="006F43A4"/>
    <w:rsid w:val="006F6578"/>
    <w:rsid w:val="006F687C"/>
    <w:rsid w:val="006F6D92"/>
    <w:rsid w:val="006F7398"/>
    <w:rsid w:val="006F76C5"/>
    <w:rsid w:val="007000F8"/>
    <w:rsid w:val="00700148"/>
    <w:rsid w:val="00700B5B"/>
    <w:rsid w:val="00700F60"/>
    <w:rsid w:val="00702808"/>
    <w:rsid w:val="00702D9A"/>
    <w:rsid w:val="007044AB"/>
    <w:rsid w:val="00707D4F"/>
    <w:rsid w:val="00711DA4"/>
    <w:rsid w:val="00712550"/>
    <w:rsid w:val="00712DFF"/>
    <w:rsid w:val="007145DD"/>
    <w:rsid w:val="00715333"/>
    <w:rsid w:val="00715470"/>
    <w:rsid w:val="00717512"/>
    <w:rsid w:val="0071761E"/>
    <w:rsid w:val="007177AA"/>
    <w:rsid w:val="00717E73"/>
    <w:rsid w:val="00720C05"/>
    <w:rsid w:val="00721C78"/>
    <w:rsid w:val="00722203"/>
    <w:rsid w:val="00722571"/>
    <w:rsid w:val="007231A1"/>
    <w:rsid w:val="00723FF3"/>
    <w:rsid w:val="00724303"/>
    <w:rsid w:val="00724D3B"/>
    <w:rsid w:val="007251D7"/>
    <w:rsid w:val="007264B4"/>
    <w:rsid w:val="00726662"/>
    <w:rsid w:val="007308D5"/>
    <w:rsid w:val="0073118A"/>
    <w:rsid w:val="00735575"/>
    <w:rsid w:val="00735EEC"/>
    <w:rsid w:val="00737796"/>
    <w:rsid w:val="007415A3"/>
    <w:rsid w:val="00743E72"/>
    <w:rsid w:val="00745584"/>
    <w:rsid w:val="00751296"/>
    <w:rsid w:val="007516EC"/>
    <w:rsid w:val="00751D66"/>
    <w:rsid w:val="00752234"/>
    <w:rsid w:val="007524A1"/>
    <w:rsid w:val="007528BE"/>
    <w:rsid w:val="0075350F"/>
    <w:rsid w:val="0075540E"/>
    <w:rsid w:val="00755F90"/>
    <w:rsid w:val="00760B45"/>
    <w:rsid w:val="00760C0F"/>
    <w:rsid w:val="00761CF6"/>
    <w:rsid w:val="007630CF"/>
    <w:rsid w:val="0076445D"/>
    <w:rsid w:val="00764FF5"/>
    <w:rsid w:val="00765429"/>
    <w:rsid w:val="00771630"/>
    <w:rsid w:val="00772C72"/>
    <w:rsid w:val="00772DB2"/>
    <w:rsid w:val="0077377B"/>
    <w:rsid w:val="007760F7"/>
    <w:rsid w:val="007763E3"/>
    <w:rsid w:val="00780075"/>
    <w:rsid w:val="007800C5"/>
    <w:rsid w:val="007826E8"/>
    <w:rsid w:val="00782914"/>
    <w:rsid w:val="00782E76"/>
    <w:rsid w:val="0078386F"/>
    <w:rsid w:val="0078468F"/>
    <w:rsid w:val="00785B87"/>
    <w:rsid w:val="00786E7F"/>
    <w:rsid w:val="00786F4A"/>
    <w:rsid w:val="00787763"/>
    <w:rsid w:val="00787989"/>
    <w:rsid w:val="00790917"/>
    <w:rsid w:val="00790D03"/>
    <w:rsid w:val="00791D1D"/>
    <w:rsid w:val="00794F7A"/>
    <w:rsid w:val="00795CA5"/>
    <w:rsid w:val="00795D3C"/>
    <w:rsid w:val="007969BB"/>
    <w:rsid w:val="00796D56"/>
    <w:rsid w:val="007A19FE"/>
    <w:rsid w:val="007A39B8"/>
    <w:rsid w:val="007A5297"/>
    <w:rsid w:val="007A6BE6"/>
    <w:rsid w:val="007A7892"/>
    <w:rsid w:val="007B0232"/>
    <w:rsid w:val="007B1297"/>
    <w:rsid w:val="007B2DCD"/>
    <w:rsid w:val="007B3FE1"/>
    <w:rsid w:val="007B4462"/>
    <w:rsid w:val="007B64F1"/>
    <w:rsid w:val="007B70B8"/>
    <w:rsid w:val="007B7B4A"/>
    <w:rsid w:val="007C05D9"/>
    <w:rsid w:val="007C0F5D"/>
    <w:rsid w:val="007C2FC0"/>
    <w:rsid w:val="007C6B0E"/>
    <w:rsid w:val="007C6EBF"/>
    <w:rsid w:val="007C700D"/>
    <w:rsid w:val="007D03CF"/>
    <w:rsid w:val="007D46DF"/>
    <w:rsid w:val="007D4C4D"/>
    <w:rsid w:val="007D5247"/>
    <w:rsid w:val="007D597D"/>
    <w:rsid w:val="007D5DF7"/>
    <w:rsid w:val="007D7037"/>
    <w:rsid w:val="007D7F24"/>
    <w:rsid w:val="007E0281"/>
    <w:rsid w:val="007E2055"/>
    <w:rsid w:val="007E71D6"/>
    <w:rsid w:val="007F0669"/>
    <w:rsid w:val="007F074A"/>
    <w:rsid w:val="007F0D13"/>
    <w:rsid w:val="007F4687"/>
    <w:rsid w:val="007F5745"/>
    <w:rsid w:val="007F575D"/>
    <w:rsid w:val="007F5F4C"/>
    <w:rsid w:val="007F6D09"/>
    <w:rsid w:val="007F7E9E"/>
    <w:rsid w:val="00800CE4"/>
    <w:rsid w:val="008024DF"/>
    <w:rsid w:val="00802E3F"/>
    <w:rsid w:val="00803200"/>
    <w:rsid w:val="00807104"/>
    <w:rsid w:val="008079AD"/>
    <w:rsid w:val="008114F5"/>
    <w:rsid w:val="008124EF"/>
    <w:rsid w:val="008132EA"/>
    <w:rsid w:val="00813ED7"/>
    <w:rsid w:val="008164AF"/>
    <w:rsid w:val="008173C3"/>
    <w:rsid w:val="00820212"/>
    <w:rsid w:val="008202D5"/>
    <w:rsid w:val="00820D6B"/>
    <w:rsid w:val="008217EA"/>
    <w:rsid w:val="00822AC5"/>
    <w:rsid w:val="00823D6C"/>
    <w:rsid w:val="0082430E"/>
    <w:rsid w:val="00826000"/>
    <w:rsid w:val="008263CC"/>
    <w:rsid w:val="0082652D"/>
    <w:rsid w:val="00826D99"/>
    <w:rsid w:val="0082761F"/>
    <w:rsid w:val="00831F94"/>
    <w:rsid w:val="00832044"/>
    <w:rsid w:val="00833E37"/>
    <w:rsid w:val="00834056"/>
    <w:rsid w:val="0083419D"/>
    <w:rsid w:val="00834C2D"/>
    <w:rsid w:val="00835D76"/>
    <w:rsid w:val="008372B6"/>
    <w:rsid w:val="00837FAF"/>
    <w:rsid w:val="008404D6"/>
    <w:rsid w:val="00842D5C"/>
    <w:rsid w:val="008432F4"/>
    <w:rsid w:val="00843B35"/>
    <w:rsid w:val="0084442B"/>
    <w:rsid w:val="00844B87"/>
    <w:rsid w:val="00847406"/>
    <w:rsid w:val="00850D33"/>
    <w:rsid w:val="0085139D"/>
    <w:rsid w:val="008554A1"/>
    <w:rsid w:val="00855E27"/>
    <w:rsid w:val="00856946"/>
    <w:rsid w:val="00856C8B"/>
    <w:rsid w:val="00857205"/>
    <w:rsid w:val="00857864"/>
    <w:rsid w:val="0086001A"/>
    <w:rsid w:val="00860F5C"/>
    <w:rsid w:val="00861B6C"/>
    <w:rsid w:val="00862CF6"/>
    <w:rsid w:val="00864888"/>
    <w:rsid w:val="0086597C"/>
    <w:rsid w:val="00866142"/>
    <w:rsid w:val="00866170"/>
    <w:rsid w:val="00870E8A"/>
    <w:rsid w:val="00872337"/>
    <w:rsid w:val="0087241B"/>
    <w:rsid w:val="00872A69"/>
    <w:rsid w:val="0087404C"/>
    <w:rsid w:val="008749AC"/>
    <w:rsid w:val="00875ED3"/>
    <w:rsid w:val="00876055"/>
    <w:rsid w:val="00876474"/>
    <w:rsid w:val="0087653F"/>
    <w:rsid w:val="00876BFA"/>
    <w:rsid w:val="00876C8C"/>
    <w:rsid w:val="008773F6"/>
    <w:rsid w:val="008815A0"/>
    <w:rsid w:val="00883AA2"/>
    <w:rsid w:val="008841E2"/>
    <w:rsid w:val="0088471D"/>
    <w:rsid w:val="00884D2B"/>
    <w:rsid w:val="0088647D"/>
    <w:rsid w:val="00887F77"/>
    <w:rsid w:val="00890BF3"/>
    <w:rsid w:val="008926E0"/>
    <w:rsid w:val="008930C0"/>
    <w:rsid w:val="00895393"/>
    <w:rsid w:val="00896FB8"/>
    <w:rsid w:val="0089767D"/>
    <w:rsid w:val="00897DE1"/>
    <w:rsid w:val="008A07CB"/>
    <w:rsid w:val="008A1225"/>
    <w:rsid w:val="008A1CA8"/>
    <w:rsid w:val="008A24F0"/>
    <w:rsid w:val="008A3684"/>
    <w:rsid w:val="008A47A1"/>
    <w:rsid w:val="008A4C06"/>
    <w:rsid w:val="008A5ABA"/>
    <w:rsid w:val="008A61CD"/>
    <w:rsid w:val="008A718C"/>
    <w:rsid w:val="008A7D02"/>
    <w:rsid w:val="008B0273"/>
    <w:rsid w:val="008B35A1"/>
    <w:rsid w:val="008B4A8F"/>
    <w:rsid w:val="008B598B"/>
    <w:rsid w:val="008B5CAB"/>
    <w:rsid w:val="008B5CF8"/>
    <w:rsid w:val="008B7D10"/>
    <w:rsid w:val="008C11F9"/>
    <w:rsid w:val="008C20BB"/>
    <w:rsid w:val="008C2487"/>
    <w:rsid w:val="008C3848"/>
    <w:rsid w:val="008C60CE"/>
    <w:rsid w:val="008C612F"/>
    <w:rsid w:val="008C71A7"/>
    <w:rsid w:val="008D0707"/>
    <w:rsid w:val="008D1ADF"/>
    <w:rsid w:val="008D32B3"/>
    <w:rsid w:val="008D38E5"/>
    <w:rsid w:val="008D3929"/>
    <w:rsid w:val="008D5F30"/>
    <w:rsid w:val="008D6D65"/>
    <w:rsid w:val="008D70DA"/>
    <w:rsid w:val="008D78B0"/>
    <w:rsid w:val="008E10B9"/>
    <w:rsid w:val="008E12AA"/>
    <w:rsid w:val="008E200E"/>
    <w:rsid w:val="008E2B79"/>
    <w:rsid w:val="008E3731"/>
    <w:rsid w:val="008E459D"/>
    <w:rsid w:val="008E5658"/>
    <w:rsid w:val="008E5B97"/>
    <w:rsid w:val="008E7417"/>
    <w:rsid w:val="008F11A9"/>
    <w:rsid w:val="008F1681"/>
    <w:rsid w:val="008F3C1E"/>
    <w:rsid w:val="008F5BCC"/>
    <w:rsid w:val="008F5BE4"/>
    <w:rsid w:val="008F63E6"/>
    <w:rsid w:val="008F67BC"/>
    <w:rsid w:val="008F6AA3"/>
    <w:rsid w:val="008F7AA1"/>
    <w:rsid w:val="00900642"/>
    <w:rsid w:val="00901820"/>
    <w:rsid w:val="00902C5C"/>
    <w:rsid w:val="00903790"/>
    <w:rsid w:val="009038EA"/>
    <w:rsid w:val="00904C4A"/>
    <w:rsid w:val="00905323"/>
    <w:rsid w:val="00905769"/>
    <w:rsid w:val="00907097"/>
    <w:rsid w:val="009072AD"/>
    <w:rsid w:val="00911883"/>
    <w:rsid w:val="0091392C"/>
    <w:rsid w:val="00914BAE"/>
    <w:rsid w:val="009153C1"/>
    <w:rsid w:val="00915C44"/>
    <w:rsid w:val="00917286"/>
    <w:rsid w:val="00920403"/>
    <w:rsid w:val="00921037"/>
    <w:rsid w:val="00921BC6"/>
    <w:rsid w:val="009236B0"/>
    <w:rsid w:val="009238E7"/>
    <w:rsid w:val="0092442A"/>
    <w:rsid w:val="009246A2"/>
    <w:rsid w:val="00925650"/>
    <w:rsid w:val="00925AF9"/>
    <w:rsid w:val="00925B59"/>
    <w:rsid w:val="00925F57"/>
    <w:rsid w:val="0092721C"/>
    <w:rsid w:val="00927627"/>
    <w:rsid w:val="00930A3F"/>
    <w:rsid w:val="0093383F"/>
    <w:rsid w:val="00933A21"/>
    <w:rsid w:val="009364AD"/>
    <w:rsid w:val="00936695"/>
    <w:rsid w:val="009372C2"/>
    <w:rsid w:val="009376E2"/>
    <w:rsid w:val="00937843"/>
    <w:rsid w:val="00937907"/>
    <w:rsid w:val="009409EA"/>
    <w:rsid w:val="00940E46"/>
    <w:rsid w:val="00941E63"/>
    <w:rsid w:val="009430FE"/>
    <w:rsid w:val="00944398"/>
    <w:rsid w:val="009454A1"/>
    <w:rsid w:val="00947769"/>
    <w:rsid w:val="00947D5B"/>
    <w:rsid w:val="00947D6F"/>
    <w:rsid w:val="00951DC2"/>
    <w:rsid w:val="009529CE"/>
    <w:rsid w:val="00953CA4"/>
    <w:rsid w:val="0095405C"/>
    <w:rsid w:val="00954110"/>
    <w:rsid w:val="00955079"/>
    <w:rsid w:val="009554B6"/>
    <w:rsid w:val="00955B96"/>
    <w:rsid w:val="009608E9"/>
    <w:rsid w:val="009611F8"/>
    <w:rsid w:val="00963626"/>
    <w:rsid w:val="00963D8B"/>
    <w:rsid w:val="00963EEA"/>
    <w:rsid w:val="009677E9"/>
    <w:rsid w:val="00967BDF"/>
    <w:rsid w:val="00971BB5"/>
    <w:rsid w:val="00971E24"/>
    <w:rsid w:val="00972563"/>
    <w:rsid w:val="00972BA4"/>
    <w:rsid w:val="00975D50"/>
    <w:rsid w:val="00975FDD"/>
    <w:rsid w:val="00976381"/>
    <w:rsid w:val="009765BE"/>
    <w:rsid w:val="009765CF"/>
    <w:rsid w:val="00976EEB"/>
    <w:rsid w:val="00977C2B"/>
    <w:rsid w:val="00980658"/>
    <w:rsid w:val="00981981"/>
    <w:rsid w:val="00983727"/>
    <w:rsid w:val="0098392C"/>
    <w:rsid w:val="00990941"/>
    <w:rsid w:val="0099125C"/>
    <w:rsid w:val="009942A5"/>
    <w:rsid w:val="009945A8"/>
    <w:rsid w:val="00995083"/>
    <w:rsid w:val="00995410"/>
    <w:rsid w:val="0099661C"/>
    <w:rsid w:val="009971CE"/>
    <w:rsid w:val="00997870"/>
    <w:rsid w:val="009A0CBB"/>
    <w:rsid w:val="009A1105"/>
    <w:rsid w:val="009A22FB"/>
    <w:rsid w:val="009A2D01"/>
    <w:rsid w:val="009A3064"/>
    <w:rsid w:val="009A30D5"/>
    <w:rsid w:val="009A3DBA"/>
    <w:rsid w:val="009A412F"/>
    <w:rsid w:val="009A43CA"/>
    <w:rsid w:val="009A6A0F"/>
    <w:rsid w:val="009A6D44"/>
    <w:rsid w:val="009A6DA2"/>
    <w:rsid w:val="009A7354"/>
    <w:rsid w:val="009A7F68"/>
    <w:rsid w:val="009B0054"/>
    <w:rsid w:val="009B06B5"/>
    <w:rsid w:val="009B1F5A"/>
    <w:rsid w:val="009B2023"/>
    <w:rsid w:val="009B33DB"/>
    <w:rsid w:val="009B375E"/>
    <w:rsid w:val="009B4856"/>
    <w:rsid w:val="009B5580"/>
    <w:rsid w:val="009B7660"/>
    <w:rsid w:val="009B7C92"/>
    <w:rsid w:val="009C102C"/>
    <w:rsid w:val="009C134F"/>
    <w:rsid w:val="009C1ACC"/>
    <w:rsid w:val="009C3177"/>
    <w:rsid w:val="009C4299"/>
    <w:rsid w:val="009C61B2"/>
    <w:rsid w:val="009D02AB"/>
    <w:rsid w:val="009D0E74"/>
    <w:rsid w:val="009D1D11"/>
    <w:rsid w:val="009D2F39"/>
    <w:rsid w:val="009D3BFF"/>
    <w:rsid w:val="009D3FBA"/>
    <w:rsid w:val="009D4277"/>
    <w:rsid w:val="009D46F7"/>
    <w:rsid w:val="009D4E20"/>
    <w:rsid w:val="009D4FD1"/>
    <w:rsid w:val="009D5536"/>
    <w:rsid w:val="009D61E0"/>
    <w:rsid w:val="009D68AD"/>
    <w:rsid w:val="009D6EA9"/>
    <w:rsid w:val="009D7160"/>
    <w:rsid w:val="009D730D"/>
    <w:rsid w:val="009D737D"/>
    <w:rsid w:val="009D7A70"/>
    <w:rsid w:val="009E08F0"/>
    <w:rsid w:val="009E3659"/>
    <w:rsid w:val="009E3A5B"/>
    <w:rsid w:val="009E3E78"/>
    <w:rsid w:val="009F0F18"/>
    <w:rsid w:val="009F231E"/>
    <w:rsid w:val="009F307D"/>
    <w:rsid w:val="009F3179"/>
    <w:rsid w:val="009F3E85"/>
    <w:rsid w:val="009F3F0F"/>
    <w:rsid w:val="009F4B56"/>
    <w:rsid w:val="009F54CB"/>
    <w:rsid w:val="009F5CA2"/>
    <w:rsid w:val="009F6469"/>
    <w:rsid w:val="009F684D"/>
    <w:rsid w:val="009F68CA"/>
    <w:rsid w:val="009F6A56"/>
    <w:rsid w:val="009F70F5"/>
    <w:rsid w:val="00A00107"/>
    <w:rsid w:val="00A01732"/>
    <w:rsid w:val="00A017CC"/>
    <w:rsid w:val="00A01EE3"/>
    <w:rsid w:val="00A04969"/>
    <w:rsid w:val="00A04EB0"/>
    <w:rsid w:val="00A05390"/>
    <w:rsid w:val="00A058FD"/>
    <w:rsid w:val="00A11369"/>
    <w:rsid w:val="00A116F5"/>
    <w:rsid w:val="00A11736"/>
    <w:rsid w:val="00A1177D"/>
    <w:rsid w:val="00A128FE"/>
    <w:rsid w:val="00A12D0D"/>
    <w:rsid w:val="00A13995"/>
    <w:rsid w:val="00A13F72"/>
    <w:rsid w:val="00A147B3"/>
    <w:rsid w:val="00A14FA6"/>
    <w:rsid w:val="00A1613F"/>
    <w:rsid w:val="00A17A8B"/>
    <w:rsid w:val="00A20C0E"/>
    <w:rsid w:val="00A23B8C"/>
    <w:rsid w:val="00A23D37"/>
    <w:rsid w:val="00A252DA"/>
    <w:rsid w:val="00A25BFC"/>
    <w:rsid w:val="00A26B04"/>
    <w:rsid w:val="00A26D3D"/>
    <w:rsid w:val="00A26FCB"/>
    <w:rsid w:val="00A30874"/>
    <w:rsid w:val="00A30A71"/>
    <w:rsid w:val="00A30DDF"/>
    <w:rsid w:val="00A31301"/>
    <w:rsid w:val="00A33527"/>
    <w:rsid w:val="00A3369F"/>
    <w:rsid w:val="00A33AAE"/>
    <w:rsid w:val="00A351B7"/>
    <w:rsid w:val="00A360E9"/>
    <w:rsid w:val="00A370CE"/>
    <w:rsid w:val="00A40756"/>
    <w:rsid w:val="00A40E5E"/>
    <w:rsid w:val="00A41D62"/>
    <w:rsid w:val="00A448EB"/>
    <w:rsid w:val="00A44940"/>
    <w:rsid w:val="00A45435"/>
    <w:rsid w:val="00A45621"/>
    <w:rsid w:val="00A45AC9"/>
    <w:rsid w:val="00A46654"/>
    <w:rsid w:val="00A47530"/>
    <w:rsid w:val="00A50061"/>
    <w:rsid w:val="00A52C5A"/>
    <w:rsid w:val="00A5511B"/>
    <w:rsid w:val="00A55D5E"/>
    <w:rsid w:val="00A573EC"/>
    <w:rsid w:val="00A57C31"/>
    <w:rsid w:val="00A57DB3"/>
    <w:rsid w:val="00A6058A"/>
    <w:rsid w:val="00A62F96"/>
    <w:rsid w:val="00A65215"/>
    <w:rsid w:val="00A658A7"/>
    <w:rsid w:val="00A65D3D"/>
    <w:rsid w:val="00A66293"/>
    <w:rsid w:val="00A67295"/>
    <w:rsid w:val="00A678C7"/>
    <w:rsid w:val="00A67A37"/>
    <w:rsid w:val="00A70511"/>
    <w:rsid w:val="00A70E85"/>
    <w:rsid w:val="00A727F6"/>
    <w:rsid w:val="00A7329C"/>
    <w:rsid w:val="00A73363"/>
    <w:rsid w:val="00A743B3"/>
    <w:rsid w:val="00A76A62"/>
    <w:rsid w:val="00A80BD9"/>
    <w:rsid w:val="00A80C6E"/>
    <w:rsid w:val="00A811DC"/>
    <w:rsid w:val="00A815ED"/>
    <w:rsid w:val="00A82CE3"/>
    <w:rsid w:val="00A83178"/>
    <w:rsid w:val="00A83795"/>
    <w:rsid w:val="00A83857"/>
    <w:rsid w:val="00A83CE9"/>
    <w:rsid w:val="00A84135"/>
    <w:rsid w:val="00A84618"/>
    <w:rsid w:val="00A84C57"/>
    <w:rsid w:val="00A85DC2"/>
    <w:rsid w:val="00A86654"/>
    <w:rsid w:val="00A9087D"/>
    <w:rsid w:val="00A913AB"/>
    <w:rsid w:val="00A91C3D"/>
    <w:rsid w:val="00A94605"/>
    <w:rsid w:val="00A95D9F"/>
    <w:rsid w:val="00A96934"/>
    <w:rsid w:val="00AA0B50"/>
    <w:rsid w:val="00AA4EC1"/>
    <w:rsid w:val="00AA6904"/>
    <w:rsid w:val="00AA6C78"/>
    <w:rsid w:val="00AA716F"/>
    <w:rsid w:val="00AB0D4E"/>
    <w:rsid w:val="00AB163F"/>
    <w:rsid w:val="00AB307C"/>
    <w:rsid w:val="00AB5D0B"/>
    <w:rsid w:val="00AB7397"/>
    <w:rsid w:val="00AB7B39"/>
    <w:rsid w:val="00AB7F68"/>
    <w:rsid w:val="00AC1414"/>
    <w:rsid w:val="00AC1ECC"/>
    <w:rsid w:val="00AC205C"/>
    <w:rsid w:val="00AC271C"/>
    <w:rsid w:val="00AC2E96"/>
    <w:rsid w:val="00AC42EE"/>
    <w:rsid w:val="00AC58A8"/>
    <w:rsid w:val="00AC6BD6"/>
    <w:rsid w:val="00AC6E3D"/>
    <w:rsid w:val="00AC7A10"/>
    <w:rsid w:val="00AD081E"/>
    <w:rsid w:val="00AD0B7B"/>
    <w:rsid w:val="00AD0B7F"/>
    <w:rsid w:val="00AD0EF0"/>
    <w:rsid w:val="00AD1C06"/>
    <w:rsid w:val="00AD242C"/>
    <w:rsid w:val="00AD29DB"/>
    <w:rsid w:val="00AD42E0"/>
    <w:rsid w:val="00AD4B92"/>
    <w:rsid w:val="00AD5148"/>
    <w:rsid w:val="00AD5158"/>
    <w:rsid w:val="00AD6542"/>
    <w:rsid w:val="00AE1CAC"/>
    <w:rsid w:val="00AE251A"/>
    <w:rsid w:val="00AE76B8"/>
    <w:rsid w:val="00AE798C"/>
    <w:rsid w:val="00AF1419"/>
    <w:rsid w:val="00AF1D99"/>
    <w:rsid w:val="00AF2610"/>
    <w:rsid w:val="00AF3253"/>
    <w:rsid w:val="00AF3FB4"/>
    <w:rsid w:val="00AF57B2"/>
    <w:rsid w:val="00AF5C5D"/>
    <w:rsid w:val="00AF60E9"/>
    <w:rsid w:val="00AF66F4"/>
    <w:rsid w:val="00AF7EF9"/>
    <w:rsid w:val="00B00007"/>
    <w:rsid w:val="00B007AE"/>
    <w:rsid w:val="00B02CB5"/>
    <w:rsid w:val="00B07811"/>
    <w:rsid w:val="00B07E2D"/>
    <w:rsid w:val="00B07F91"/>
    <w:rsid w:val="00B1005C"/>
    <w:rsid w:val="00B1154B"/>
    <w:rsid w:val="00B12B13"/>
    <w:rsid w:val="00B13EC9"/>
    <w:rsid w:val="00B14A39"/>
    <w:rsid w:val="00B16978"/>
    <w:rsid w:val="00B16DFA"/>
    <w:rsid w:val="00B17B0A"/>
    <w:rsid w:val="00B2295A"/>
    <w:rsid w:val="00B22ABB"/>
    <w:rsid w:val="00B23010"/>
    <w:rsid w:val="00B2389D"/>
    <w:rsid w:val="00B247DE"/>
    <w:rsid w:val="00B26A42"/>
    <w:rsid w:val="00B30A5A"/>
    <w:rsid w:val="00B31C6A"/>
    <w:rsid w:val="00B34401"/>
    <w:rsid w:val="00B35C99"/>
    <w:rsid w:val="00B35FFB"/>
    <w:rsid w:val="00B369AF"/>
    <w:rsid w:val="00B41ED6"/>
    <w:rsid w:val="00B421A6"/>
    <w:rsid w:val="00B43915"/>
    <w:rsid w:val="00B443E0"/>
    <w:rsid w:val="00B4462A"/>
    <w:rsid w:val="00B446B1"/>
    <w:rsid w:val="00B45FC3"/>
    <w:rsid w:val="00B46731"/>
    <w:rsid w:val="00B46E3B"/>
    <w:rsid w:val="00B47459"/>
    <w:rsid w:val="00B47A12"/>
    <w:rsid w:val="00B50376"/>
    <w:rsid w:val="00B50427"/>
    <w:rsid w:val="00B505C4"/>
    <w:rsid w:val="00B50D2A"/>
    <w:rsid w:val="00B50F0A"/>
    <w:rsid w:val="00B51F02"/>
    <w:rsid w:val="00B51F47"/>
    <w:rsid w:val="00B5335B"/>
    <w:rsid w:val="00B53CDC"/>
    <w:rsid w:val="00B53E99"/>
    <w:rsid w:val="00B542C4"/>
    <w:rsid w:val="00B54E5F"/>
    <w:rsid w:val="00B55167"/>
    <w:rsid w:val="00B555DB"/>
    <w:rsid w:val="00B563E5"/>
    <w:rsid w:val="00B571C4"/>
    <w:rsid w:val="00B574C7"/>
    <w:rsid w:val="00B57BA6"/>
    <w:rsid w:val="00B60605"/>
    <w:rsid w:val="00B60D68"/>
    <w:rsid w:val="00B6138E"/>
    <w:rsid w:val="00B61948"/>
    <w:rsid w:val="00B63C39"/>
    <w:rsid w:val="00B6446D"/>
    <w:rsid w:val="00B66894"/>
    <w:rsid w:val="00B66BE8"/>
    <w:rsid w:val="00B66CAF"/>
    <w:rsid w:val="00B67048"/>
    <w:rsid w:val="00B6714A"/>
    <w:rsid w:val="00B7103B"/>
    <w:rsid w:val="00B72ECC"/>
    <w:rsid w:val="00B72F17"/>
    <w:rsid w:val="00B74016"/>
    <w:rsid w:val="00B744E2"/>
    <w:rsid w:val="00B74EC2"/>
    <w:rsid w:val="00B74F4D"/>
    <w:rsid w:val="00B7582C"/>
    <w:rsid w:val="00B75B8C"/>
    <w:rsid w:val="00B762D6"/>
    <w:rsid w:val="00B77044"/>
    <w:rsid w:val="00B8064A"/>
    <w:rsid w:val="00B80E52"/>
    <w:rsid w:val="00B81C50"/>
    <w:rsid w:val="00B83E65"/>
    <w:rsid w:val="00B84630"/>
    <w:rsid w:val="00B846D0"/>
    <w:rsid w:val="00B84DB8"/>
    <w:rsid w:val="00B85707"/>
    <w:rsid w:val="00B90768"/>
    <w:rsid w:val="00B91745"/>
    <w:rsid w:val="00B918D4"/>
    <w:rsid w:val="00B92CE6"/>
    <w:rsid w:val="00B93849"/>
    <w:rsid w:val="00B95B9E"/>
    <w:rsid w:val="00B96F51"/>
    <w:rsid w:val="00B97B55"/>
    <w:rsid w:val="00B97C39"/>
    <w:rsid w:val="00BA057C"/>
    <w:rsid w:val="00BA1809"/>
    <w:rsid w:val="00BA1DCD"/>
    <w:rsid w:val="00BA26C4"/>
    <w:rsid w:val="00BA2F1B"/>
    <w:rsid w:val="00BA2F3F"/>
    <w:rsid w:val="00BA3370"/>
    <w:rsid w:val="00BA449C"/>
    <w:rsid w:val="00BA4F28"/>
    <w:rsid w:val="00BA5081"/>
    <w:rsid w:val="00BA6420"/>
    <w:rsid w:val="00BB08CE"/>
    <w:rsid w:val="00BB2402"/>
    <w:rsid w:val="00BB4963"/>
    <w:rsid w:val="00BB4F21"/>
    <w:rsid w:val="00BB62E1"/>
    <w:rsid w:val="00BB793D"/>
    <w:rsid w:val="00BB7FB4"/>
    <w:rsid w:val="00BC04CD"/>
    <w:rsid w:val="00BC12C7"/>
    <w:rsid w:val="00BC43B6"/>
    <w:rsid w:val="00BC4C93"/>
    <w:rsid w:val="00BC55CA"/>
    <w:rsid w:val="00BC6DE3"/>
    <w:rsid w:val="00BC78CF"/>
    <w:rsid w:val="00BC7DCF"/>
    <w:rsid w:val="00BD0849"/>
    <w:rsid w:val="00BD2E11"/>
    <w:rsid w:val="00BD2F66"/>
    <w:rsid w:val="00BD6640"/>
    <w:rsid w:val="00BD78A7"/>
    <w:rsid w:val="00BE053B"/>
    <w:rsid w:val="00BE10FA"/>
    <w:rsid w:val="00BE13E4"/>
    <w:rsid w:val="00BE3492"/>
    <w:rsid w:val="00BE45E6"/>
    <w:rsid w:val="00BE7165"/>
    <w:rsid w:val="00BE7556"/>
    <w:rsid w:val="00BE773E"/>
    <w:rsid w:val="00BE78DD"/>
    <w:rsid w:val="00BE7FC3"/>
    <w:rsid w:val="00BF2337"/>
    <w:rsid w:val="00BF2540"/>
    <w:rsid w:val="00BF321E"/>
    <w:rsid w:val="00BF46C9"/>
    <w:rsid w:val="00BF4FD3"/>
    <w:rsid w:val="00BF56CD"/>
    <w:rsid w:val="00BF5CBA"/>
    <w:rsid w:val="00BF76F2"/>
    <w:rsid w:val="00BF771F"/>
    <w:rsid w:val="00BF7C8B"/>
    <w:rsid w:val="00C00C12"/>
    <w:rsid w:val="00C013A6"/>
    <w:rsid w:val="00C03170"/>
    <w:rsid w:val="00C041F4"/>
    <w:rsid w:val="00C059FB"/>
    <w:rsid w:val="00C05BE0"/>
    <w:rsid w:val="00C06A66"/>
    <w:rsid w:val="00C076E0"/>
    <w:rsid w:val="00C10A75"/>
    <w:rsid w:val="00C1116F"/>
    <w:rsid w:val="00C11BA0"/>
    <w:rsid w:val="00C13C59"/>
    <w:rsid w:val="00C1478C"/>
    <w:rsid w:val="00C14869"/>
    <w:rsid w:val="00C14B14"/>
    <w:rsid w:val="00C16531"/>
    <w:rsid w:val="00C16827"/>
    <w:rsid w:val="00C1754E"/>
    <w:rsid w:val="00C17F34"/>
    <w:rsid w:val="00C20603"/>
    <w:rsid w:val="00C20BD7"/>
    <w:rsid w:val="00C20F88"/>
    <w:rsid w:val="00C215DE"/>
    <w:rsid w:val="00C21A57"/>
    <w:rsid w:val="00C25C52"/>
    <w:rsid w:val="00C26100"/>
    <w:rsid w:val="00C26BD3"/>
    <w:rsid w:val="00C31142"/>
    <w:rsid w:val="00C31ADD"/>
    <w:rsid w:val="00C31ED6"/>
    <w:rsid w:val="00C323B0"/>
    <w:rsid w:val="00C32FE5"/>
    <w:rsid w:val="00C35B03"/>
    <w:rsid w:val="00C3635A"/>
    <w:rsid w:val="00C375B2"/>
    <w:rsid w:val="00C43ACB"/>
    <w:rsid w:val="00C46115"/>
    <w:rsid w:val="00C47393"/>
    <w:rsid w:val="00C47E24"/>
    <w:rsid w:val="00C5036F"/>
    <w:rsid w:val="00C519D9"/>
    <w:rsid w:val="00C51A2D"/>
    <w:rsid w:val="00C51B8D"/>
    <w:rsid w:val="00C51D21"/>
    <w:rsid w:val="00C53542"/>
    <w:rsid w:val="00C55309"/>
    <w:rsid w:val="00C55323"/>
    <w:rsid w:val="00C5716D"/>
    <w:rsid w:val="00C579DE"/>
    <w:rsid w:val="00C61E02"/>
    <w:rsid w:val="00C62005"/>
    <w:rsid w:val="00C62D0E"/>
    <w:rsid w:val="00C630D1"/>
    <w:rsid w:val="00C63E30"/>
    <w:rsid w:val="00C65DC0"/>
    <w:rsid w:val="00C67C53"/>
    <w:rsid w:val="00C70D61"/>
    <w:rsid w:val="00C72CE2"/>
    <w:rsid w:val="00C741B0"/>
    <w:rsid w:val="00C7447D"/>
    <w:rsid w:val="00C74D17"/>
    <w:rsid w:val="00C77209"/>
    <w:rsid w:val="00C81250"/>
    <w:rsid w:val="00C8308C"/>
    <w:rsid w:val="00C83692"/>
    <w:rsid w:val="00C83A0E"/>
    <w:rsid w:val="00C85657"/>
    <w:rsid w:val="00C86CB4"/>
    <w:rsid w:val="00C8787A"/>
    <w:rsid w:val="00C922B1"/>
    <w:rsid w:val="00C9232A"/>
    <w:rsid w:val="00C92736"/>
    <w:rsid w:val="00C92EA9"/>
    <w:rsid w:val="00C9325F"/>
    <w:rsid w:val="00C93CD3"/>
    <w:rsid w:val="00C9538C"/>
    <w:rsid w:val="00C95A84"/>
    <w:rsid w:val="00C95C93"/>
    <w:rsid w:val="00C95F38"/>
    <w:rsid w:val="00C970D9"/>
    <w:rsid w:val="00C9722B"/>
    <w:rsid w:val="00C97696"/>
    <w:rsid w:val="00CA0557"/>
    <w:rsid w:val="00CA10A2"/>
    <w:rsid w:val="00CA329A"/>
    <w:rsid w:val="00CA3CE6"/>
    <w:rsid w:val="00CA4062"/>
    <w:rsid w:val="00CA4296"/>
    <w:rsid w:val="00CA462D"/>
    <w:rsid w:val="00CA5880"/>
    <w:rsid w:val="00CA594C"/>
    <w:rsid w:val="00CA6B5A"/>
    <w:rsid w:val="00CA7341"/>
    <w:rsid w:val="00CA795B"/>
    <w:rsid w:val="00CB14F6"/>
    <w:rsid w:val="00CB2735"/>
    <w:rsid w:val="00CB301B"/>
    <w:rsid w:val="00CB31ED"/>
    <w:rsid w:val="00CB395B"/>
    <w:rsid w:val="00CB4544"/>
    <w:rsid w:val="00CB4AAC"/>
    <w:rsid w:val="00CB53F5"/>
    <w:rsid w:val="00CB6980"/>
    <w:rsid w:val="00CC0728"/>
    <w:rsid w:val="00CC293D"/>
    <w:rsid w:val="00CC2A77"/>
    <w:rsid w:val="00CC354E"/>
    <w:rsid w:val="00CC4E11"/>
    <w:rsid w:val="00CC5658"/>
    <w:rsid w:val="00CC5D65"/>
    <w:rsid w:val="00CC6079"/>
    <w:rsid w:val="00CC7076"/>
    <w:rsid w:val="00CC7992"/>
    <w:rsid w:val="00CC7F3E"/>
    <w:rsid w:val="00CD14B0"/>
    <w:rsid w:val="00CD155E"/>
    <w:rsid w:val="00CD26F3"/>
    <w:rsid w:val="00CD2D62"/>
    <w:rsid w:val="00CD3616"/>
    <w:rsid w:val="00CD43AA"/>
    <w:rsid w:val="00CD44AA"/>
    <w:rsid w:val="00CD48AA"/>
    <w:rsid w:val="00CD4AE9"/>
    <w:rsid w:val="00CD6443"/>
    <w:rsid w:val="00CD6F3B"/>
    <w:rsid w:val="00CE3A4E"/>
    <w:rsid w:val="00CE4BDD"/>
    <w:rsid w:val="00CE60F0"/>
    <w:rsid w:val="00CE6AAC"/>
    <w:rsid w:val="00CE710E"/>
    <w:rsid w:val="00CF21C4"/>
    <w:rsid w:val="00CF49BE"/>
    <w:rsid w:val="00CF5E19"/>
    <w:rsid w:val="00CF5F6C"/>
    <w:rsid w:val="00CF6862"/>
    <w:rsid w:val="00CF7D33"/>
    <w:rsid w:val="00D00A09"/>
    <w:rsid w:val="00D010B0"/>
    <w:rsid w:val="00D017E2"/>
    <w:rsid w:val="00D0214E"/>
    <w:rsid w:val="00D0379C"/>
    <w:rsid w:val="00D04748"/>
    <w:rsid w:val="00D05BA4"/>
    <w:rsid w:val="00D067E6"/>
    <w:rsid w:val="00D068EB"/>
    <w:rsid w:val="00D0710B"/>
    <w:rsid w:val="00D07297"/>
    <w:rsid w:val="00D10339"/>
    <w:rsid w:val="00D1170D"/>
    <w:rsid w:val="00D117CA"/>
    <w:rsid w:val="00D117FF"/>
    <w:rsid w:val="00D11FB7"/>
    <w:rsid w:val="00D12AA5"/>
    <w:rsid w:val="00D136AF"/>
    <w:rsid w:val="00D13CA5"/>
    <w:rsid w:val="00D13CD0"/>
    <w:rsid w:val="00D1420B"/>
    <w:rsid w:val="00D147C6"/>
    <w:rsid w:val="00D14981"/>
    <w:rsid w:val="00D14C0F"/>
    <w:rsid w:val="00D14EA8"/>
    <w:rsid w:val="00D14FBB"/>
    <w:rsid w:val="00D17265"/>
    <w:rsid w:val="00D17A4F"/>
    <w:rsid w:val="00D20838"/>
    <w:rsid w:val="00D2103E"/>
    <w:rsid w:val="00D22842"/>
    <w:rsid w:val="00D2364F"/>
    <w:rsid w:val="00D25324"/>
    <w:rsid w:val="00D25A85"/>
    <w:rsid w:val="00D26362"/>
    <w:rsid w:val="00D270DB"/>
    <w:rsid w:val="00D27A0B"/>
    <w:rsid w:val="00D27A97"/>
    <w:rsid w:val="00D3190C"/>
    <w:rsid w:val="00D319DA"/>
    <w:rsid w:val="00D31A41"/>
    <w:rsid w:val="00D31B59"/>
    <w:rsid w:val="00D32389"/>
    <w:rsid w:val="00D33306"/>
    <w:rsid w:val="00D33522"/>
    <w:rsid w:val="00D34645"/>
    <w:rsid w:val="00D352BA"/>
    <w:rsid w:val="00D359C1"/>
    <w:rsid w:val="00D365C7"/>
    <w:rsid w:val="00D401BB"/>
    <w:rsid w:val="00D41678"/>
    <w:rsid w:val="00D42750"/>
    <w:rsid w:val="00D427DE"/>
    <w:rsid w:val="00D4359D"/>
    <w:rsid w:val="00D43BBB"/>
    <w:rsid w:val="00D44292"/>
    <w:rsid w:val="00D45113"/>
    <w:rsid w:val="00D47531"/>
    <w:rsid w:val="00D47544"/>
    <w:rsid w:val="00D526BD"/>
    <w:rsid w:val="00D535B8"/>
    <w:rsid w:val="00D536C3"/>
    <w:rsid w:val="00D53E49"/>
    <w:rsid w:val="00D54364"/>
    <w:rsid w:val="00D54AB6"/>
    <w:rsid w:val="00D54B10"/>
    <w:rsid w:val="00D55696"/>
    <w:rsid w:val="00D57B65"/>
    <w:rsid w:val="00D6068A"/>
    <w:rsid w:val="00D62151"/>
    <w:rsid w:val="00D632DE"/>
    <w:rsid w:val="00D652EB"/>
    <w:rsid w:val="00D659C4"/>
    <w:rsid w:val="00D71D83"/>
    <w:rsid w:val="00D738D8"/>
    <w:rsid w:val="00D739D9"/>
    <w:rsid w:val="00D73D1E"/>
    <w:rsid w:val="00D73F78"/>
    <w:rsid w:val="00D7737C"/>
    <w:rsid w:val="00D8158D"/>
    <w:rsid w:val="00D81B52"/>
    <w:rsid w:val="00D81E3F"/>
    <w:rsid w:val="00D8359C"/>
    <w:rsid w:val="00D8479F"/>
    <w:rsid w:val="00D84D1E"/>
    <w:rsid w:val="00D86A8F"/>
    <w:rsid w:val="00D87BEC"/>
    <w:rsid w:val="00D9145F"/>
    <w:rsid w:val="00D93493"/>
    <w:rsid w:val="00D948D4"/>
    <w:rsid w:val="00D95F08"/>
    <w:rsid w:val="00D972FF"/>
    <w:rsid w:val="00D973A9"/>
    <w:rsid w:val="00D97847"/>
    <w:rsid w:val="00DA1D86"/>
    <w:rsid w:val="00DA3011"/>
    <w:rsid w:val="00DA54FD"/>
    <w:rsid w:val="00DA5C9F"/>
    <w:rsid w:val="00DA700A"/>
    <w:rsid w:val="00DA7FD8"/>
    <w:rsid w:val="00DB10FB"/>
    <w:rsid w:val="00DB14C2"/>
    <w:rsid w:val="00DB31D1"/>
    <w:rsid w:val="00DB4330"/>
    <w:rsid w:val="00DC0FB7"/>
    <w:rsid w:val="00DC2BFD"/>
    <w:rsid w:val="00DC4336"/>
    <w:rsid w:val="00DC4E09"/>
    <w:rsid w:val="00DC54D6"/>
    <w:rsid w:val="00DC5864"/>
    <w:rsid w:val="00DC6141"/>
    <w:rsid w:val="00DC7D35"/>
    <w:rsid w:val="00DD10D2"/>
    <w:rsid w:val="00DD1B1A"/>
    <w:rsid w:val="00DD360A"/>
    <w:rsid w:val="00DD37D5"/>
    <w:rsid w:val="00DD4541"/>
    <w:rsid w:val="00DD5550"/>
    <w:rsid w:val="00DD6034"/>
    <w:rsid w:val="00DD781F"/>
    <w:rsid w:val="00DE0785"/>
    <w:rsid w:val="00DE1C88"/>
    <w:rsid w:val="00DE292F"/>
    <w:rsid w:val="00DE62A8"/>
    <w:rsid w:val="00DE6780"/>
    <w:rsid w:val="00DE78D5"/>
    <w:rsid w:val="00DF0032"/>
    <w:rsid w:val="00DF0E79"/>
    <w:rsid w:val="00DF361A"/>
    <w:rsid w:val="00DF6050"/>
    <w:rsid w:val="00DF6112"/>
    <w:rsid w:val="00DF6CF3"/>
    <w:rsid w:val="00DF7129"/>
    <w:rsid w:val="00E01352"/>
    <w:rsid w:val="00E01D3B"/>
    <w:rsid w:val="00E020D1"/>
    <w:rsid w:val="00E021E7"/>
    <w:rsid w:val="00E04747"/>
    <w:rsid w:val="00E05222"/>
    <w:rsid w:val="00E05CC9"/>
    <w:rsid w:val="00E1382B"/>
    <w:rsid w:val="00E13A3E"/>
    <w:rsid w:val="00E1523A"/>
    <w:rsid w:val="00E163D9"/>
    <w:rsid w:val="00E1682B"/>
    <w:rsid w:val="00E176A2"/>
    <w:rsid w:val="00E225DA"/>
    <w:rsid w:val="00E23934"/>
    <w:rsid w:val="00E27665"/>
    <w:rsid w:val="00E27C3E"/>
    <w:rsid w:val="00E315E0"/>
    <w:rsid w:val="00E3265C"/>
    <w:rsid w:val="00E32ADE"/>
    <w:rsid w:val="00E34176"/>
    <w:rsid w:val="00E34334"/>
    <w:rsid w:val="00E34A6E"/>
    <w:rsid w:val="00E35726"/>
    <w:rsid w:val="00E35D71"/>
    <w:rsid w:val="00E40A9A"/>
    <w:rsid w:val="00E40ACA"/>
    <w:rsid w:val="00E4126C"/>
    <w:rsid w:val="00E42582"/>
    <w:rsid w:val="00E43BAD"/>
    <w:rsid w:val="00E44A05"/>
    <w:rsid w:val="00E4622A"/>
    <w:rsid w:val="00E47124"/>
    <w:rsid w:val="00E4779D"/>
    <w:rsid w:val="00E47A93"/>
    <w:rsid w:val="00E47EC8"/>
    <w:rsid w:val="00E50ACA"/>
    <w:rsid w:val="00E50D81"/>
    <w:rsid w:val="00E5181A"/>
    <w:rsid w:val="00E5183D"/>
    <w:rsid w:val="00E521B6"/>
    <w:rsid w:val="00E529DD"/>
    <w:rsid w:val="00E531E6"/>
    <w:rsid w:val="00E531FF"/>
    <w:rsid w:val="00E5360B"/>
    <w:rsid w:val="00E537FD"/>
    <w:rsid w:val="00E5401C"/>
    <w:rsid w:val="00E5420C"/>
    <w:rsid w:val="00E548E1"/>
    <w:rsid w:val="00E56210"/>
    <w:rsid w:val="00E570B1"/>
    <w:rsid w:val="00E57853"/>
    <w:rsid w:val="00E57E4A"/>
    <w:rsid w:val="00E63308"/>
    <w:rsid w:val="00E63808"/>
    <w:rsid w:val="00E64D15"/>
    <w:rsid w:val="00E652FF"/>
    <w:rsid w:val="00E6639F"/>
    <w:rsid w:val="00E70078"/>
    <w:rsid w:val="00E70BB7"/>
    <w:rsid w:val="00E712C3"/>
    <w:rsid w:val="00E71780"/>
    <w:rsid w:val="00E7240F"/>
    <w:rsid w:val="00E72701"/>
    <w:rsid w:val="00E733E5"/>
    <w:rsid w:val="00E748C7"/>
    <w:rsid w:val="00E7508B"/>
    <w:rsid w:val="00E76B8E"/>
    <w:rsid w:val="00E76FA0"/>
    <w:rsid w:val="00E81359"/>
    <w:rsid w:val="00E830E5"/>
    <w:rsid w:val="00E8373D"/>
    <w:rsid w:val="00E84067"/>
    <w:rsid w:val="00E8446C"/>
    <w:rsid w:val="00E844E1"/>
    <w:rsid w:val="00E8538C"/>
    <w:rsid w:val="00E92303"/>
    <w:rsid w:val="00E927B2"/>
    <w:rsid w:val="00E928A1"/>
    <w:rsid w:val="00E93641"/>
    <w:rsid w:val="00E9482D"/>
    <w:rsid w:val="00E9529D"/>
    <w:rsid w:val="00E9685D"/>
    <w:rsid w:val="00E96BF3"/>
    <w:rsid w:val="00E96CBC"/>
    <w:rsid w:val="00E97136"/>
    <w:rsid w:val="00EA0C84"/>
    <w:rsid w:val="00EA2172"/>
    <w:rsid w:val="00EA4A07"/>
    <w:rsid w:val="00EA5340"/>
    <w:rsid w:val="00EA665E"/>
    <w:rsid w:val="00EB0A48"/>
    <w:rsid w:val="00EB0B3B"/>
    <w:rsid w:val="00EB12FB"/>
    <w:rsid w:val="00EB21E5"/>
    <w:rsid w:val="00EB2676"/>
    <w:rsid w:val="00EB2B1F"/>
    <w:rsid w:val="00EB3B3A"/>
    <w:rsid w:val="00EB49D4"/>
    <w:rsid w:val="00EB52B0"/>
    <w:rsid w:val="00EB5907"/>
    <w:rsid w:val="00EB6975"/>
    <w:rsid w:val="00EC12C2"/>
    <w:rsid w:val="00EC24D9"/>
    <w:rsid w:val="00EC2613"/>
    <w:rsid w:val="00EC43EC"/>
    <w:rsid w:val="00EC594B"/>
    <w:rsid w:val="00EC5D8F"/>
    <w:rsid w:val="00ED3220"/>
    <w:rsid w:val="00ED34CE"/>
    <w:rsid w:val="00ED40C4"/>
    <w:rsid w:val="00ED4C29"/>
    <w:rsid w:val="00ED59AA"/>
    <w:rsid w:val="00EE0683"/>
    <w:rsid w:val="00EE38AF"/>
    <w:rsid w:val="00EE4BCD"/>
    <w:rsid w:val="00EE5297"/>
    <w:rsid w:val="00EE63B5"/>
    <w:rsid w:val="00EE6B0B"/>
    <w:rsid w:val="00EE7FDC"/>
    <w:rsid w:val="00EF0248"/>
    <w:rsid w:val="00EF04B5"/>
    <w:rsid w:val="00EF07F4"/>
    <w:rsid w:val="00EF132C"/>
    <w:rsid w:val="00EF1E3E"/>
    <w:rsid w:val="00EF20D9"/>
    <w:rsid w:val="00EF72B1"/>
    <w:rsid w:val="00EF76FA"/>
    <w:rsid w:val="00EF7B7C"/>
    <w:rsid w:val="00F00130"/>
    <w:rsid w:val="00F026AF"/>
    <w:rsid w:val="00F02D1B"/>
    <w:rsid w:val="00F02D57"/>
    <w:rsid w:val="00F04A23"/>
    <w:rsid w:val="00F0577D"/>
    <w:rsid w:val="00F05E97"/>
    <w:rsid w:val="00F077FF"/>
    <w:rsid w:val="00F10F1E"/>
    <w:rsid w:val="00F1252C"/>
    <w:rsid w:val="00F12D58"/>
    <w:rsid w:val="00F131A8"/>
    <w:rsid w:val="00F1331A"/>
    <w:rsid w:val="00F1670D"/>
    <w:rsid w:val="00F167E8"/>
    <w:rsid w:val="00F17211"/>
    <w:rsid w:val="00F20B98"/>
    <w:rsid w:val="00F21519"/>
    <w:rsid w:val="00F21C8F"/>
    <w:rsid w:val="00F23207"/>
    <w:rsid w:val="00F23501"/>
    <w:rsid w:val="00F24A07"/>
    <w:rsid w:val="00F24A4A"/>
    <w:rsid w:val="00F2639B"/>
    <w:rsid w:val="00F26443"/>
    <w:rsid w:val="00F270B6"/>
    <w:rsid w:val="00F30D5E"/>
    <w:rsid w:val="00F3141B"/>
    <w:rsid w:val="00F330CD"/>
    <w:rsid w:val="00F335C7"/>
    <w:rsid w:val="00F33ADF"/>
    <w:rsid w:val="00F35C10"/>
    <w:rsid w:val="00F4187F"/>
    <w:rsid w:val="00F4608F"/>
    <w:rsid w:val="00F47016"/>
    <w:rsid w:val="00F4747A"/>
    <w:rsid w:val="00F4797A"/>
    <w:rsid w:val="00F47A67"/>
    <w:rsid w:val="00F51610"/>
    <w:rsid w:val="00F5285D"/>
    <w:rsid w:val="00F54DE4"/>
    <w:rsid w:val="00F57EB8"/>
    <w:rsid w:val="00F6038A"/>
    <w:rsid w:val="00F61091"/>
    <w:rsid w:val="00F621AF"/>
    <w:rsid w:val="00F62A0C"/>
    <w:rsid w:val="00F63A67"/>
    <w:rsid w:val="00F65236"/>
    <w:rsid w:val="00F67784"/>
    <w:rsid w:val="00F67C1D"/>
    <w:rsid w:val="00F70E1A"/>
    <w:rsid w:val="00F71364"/>
    <w:rsid w:val="00F7281A"/>
    <w:rsid w:val="00F7310E"/>
    <w:rsid w:val="00F737C5"/>
    <w:rsid w:val="00F73D29"/>
    <w:rsid w:val="00F74999"/>
    <w:rsid w:val="00F803F8"/>
    <w:rsid w:val="00F809E2"/>
    <w:rsid w:val="00F86C14"/>
    <w:rsid w:val="00F920C0"/>
    <w:rsid w:val="00F924D6"/>
    <w:rsid w:val="00F9259D"/>
    <w:rsid w:val="00F934A5"/>
    <w:rsid w:val="00F93782"/>
    <w:rsid w:val="00F93F95"/>
    <w:rsid w:val="00F945FB"/>
    <w:rsid w:val="00F950D9"/>
    <w:rsid w:val="00F96570"/>
    <w:rsid w:val="00F96BF9"/>
    <w:rsid w:val="00FA0E10"/>
    <w:rsid w:val="00FA0F85"/>
    <w:rsid w:val="00FA0FAB"/>
    <w:rsid w:val="00FA2084"/>
    <w:rsid w:val="00FA2C10"/>
    <w:rsid w:val="00FA39F5"/>
    <w:rsid w:val="00FA3A7B"/>
    <w:rsid w:val="00FA4BBB"/>
    <w:rsid w:val="00FA61F2"/>
    <w:rsid w:val="00FB0E6B"/>
    <w:rsid w:val="00FB1B37"/>
    <w:rsid w:val="00FB2B2B"/>
    <w:rsid w:val="00FB3379"/>
    <w:rsid w:val="00FB3E9D"/>
    <w:rsid w:val="00FB4FCD"/>
    <w:rsid w:val="00FB6393"/>
    <w:rsid w:val="00FB6474"/>
    <w:rsid w:val="00FC0498"/>
    <w:rsid w:val="00FC0E1D"/>
    <w:rsid w:val="00FC142F"/>
    <w:rsid w:val="00FC378F"/>
    <w:rsid w:val="00FC39EF"/>
    <w:rsid w:val="00FC3C25"/>
    <w:rsid w:val="00FC40B6"/>
    <w:rsid w:val="00FC4574"/>
    <w:rsid w:val="00FC63E1"/>
    <w:rsid w:val="00FD0D83"/>
    <w:rsid w:val="00FD0FCB"/>
    <w:rsid w:val="00FD1B39"/>
    <w:rsid w:val="00FD20F8"/>
    <w:rsid w:val="00FD28B4"/>
    <w:rsid w:val="00FD32B8"/>
    <w:rsid w:val="00FD34B4"/>
    <w:rsid w:val="00FD3E03"/>
    <w:rsid w:val="00FD4518"/>
    <w:rsid w:val="00FD4549"/>
    <w:rsid w:val="00FD5565"/>
    <w:rsid w:val="00FD5D14"/>
    <w:rsid w:val="00FD65CA"/>
    <w:rsid w:val="00FD6DA7"/>
    <w:rsid w:val="00FD7918"/>
    <w:rsid w:val="00FE1683"/>
    <w:rsid w:val="00FE2744"/>
    <w:rsid w:val="00FE2760"/>
    <w:rsid w:val="00FE3776"/>
    <w:rsid w:val="00FE4F1F"/>
    <w:rsid w:val="00FE5B0F"/>
    <w:rsid w:val="00FE5D28"/>
    <w:rsid w:val="00FE60CA"/>
    <w:rsid w:val="00FE7FB5"/>
    <w:rsid w:val="00FF4521"/>
    <w:rsid w:val="00FF6D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743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lang w:val="en-CA"/>
    </w:rPr>
  </w:style>
  <w:style w:type="paragraph" w:styleId="Heading1">
    <w:name w:val="heading 1"/>
    <w:basedOn w:val="Normal"/>
    <w:next w:val="Normal"/>
    <w:link w:val="Heading1Char"/>
    <w:uiPriority w:val="9"/>
    <w:qFormat/>
    <w:rsid w:val="00EA0C84"/>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n-US" w:bidi="en-US"/>
    </w:rPr>
  </w:style>
  <w:style w:type="paragraph" w:styleId="Heading2">
    <w:name w:val="heading 2"/>
    <w:basedOn w:val="Normal"/>
    <w:next w:val="Normal"/>
    <w:link w:val="Heading2Char"/>
    <w:uiPriority w:val="9"/>
    <w:unhideWhenUsed/>
    <w:qFormat/>
    <w:rsid w:val="00A8665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56CF2"/>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2B8"/>
    <w:pPr>
      <w:ind w:left="720"/>
      <w:contextualSpacing/>
    </w:pPr>
  </w:style>
  <w:style w:type="character" w:styleId="CommentReference">
    <w:name w:val="annotation reference"/>
    <w:basedOn w:val="DefaultParagraphFont"/>
    <w:uiPriority w:val="99"/>
    <w:semiHidden/>
    <w:unhideWhenUsed/>
    <w:rsid w:val="00025644"/>
    <w:rPr>
      <w:sz w:val="18"/>
      <w:szCs w:val="18"/>
    </w:rPr>
  </w:style>
  <w:style w:type="paragraph" w:styleId="CommentText">
    <w:name w:val="annotation text"/>
    <w:basedOn w:val="Normal"/>
    <w:link w:val="CommentTextChar"/>
    <w:uiPriority w:val="99"/>
    <w:unhideWhenUsed/>
    <w:rsid w:val="00025644"/>
  </w:style>
  <w:style w:type="character" w:customStyle="1" w:styleId="CommentTextChar">
    <w:name w:val="Comment Text Char"/>
    <w:basedOn w:val="DefaultParagraphFont"/>
    <w:link w:val="CommentText"/>
    <w:uiPriority w:val="99"/>
    <w:rsid w:val="00025644"/>
    <w:rPr>
      <w:rFonts w:cs="Times New Roman"/>
      <w:lang w:val="en-CA"/>
    </w:rPr>
  </w:style>
  <w:style w:type="paragraph" w:styleId="CommentSubject">
    <w:name w:val="annotation subject"/>
    <w:basedOn w:val="CommentText"/>
    <w:next w:val="CommentText"/>
    <w:link w:val="CommentSubjectChar"/>
    <w:uiPriority w:val="99"/>
    <w:semiHidden/>
    <w:unhideWhenUsed/>
    <w:rsid w:val="00025644"/>
    <w:rPr>
      <w:b/>
      <w:bCs/>
      <w:sz w:val="20"/>
      <w:szCs w:val="20"/>
    </w:rPr>
  </w:style>
  <w:style w:type="character" w:customStyle="1" w:styleId="CommentSubjectChar">
    <w:name w:val="Comment Subject Char"/>
    <w:basedOn w:val="CommentTextChar"/>
    <w:link w:val="CommentSubject"/>
    <w:uiPriority w:val="99"/>
    <w:semiHidden/>
    <w:rsid w:val="00025644"/>
    <w:rPr>
      <w:rFonts w:cs="Times New Roman"/>
      <w:b/>
      <w:bCs/>
      <w:sz w:val="20"/>
      <w:szCs w:val="20"/>
      <w:lang w:val="en-CA"/>
    </w:rPr>
  </w:style>
  <w:style w:type="paragraph" w:styleId="BalloonText">
    <w:name w:val="Balloon Text"/>
    <w:basedOn w:val="Normal"/>
    <w:link w:val="BalloonTextChar"/>
    <w:uiPriority w:val="99"/>
    <w:semiHidden/>
    <w:unhideWhenUsed/>
    <w:rsid w:val="00025644"/>
    <w:rPr>
      <w:sz w:val="18"/>
      <w:szCs w:val="18"/>
    </w:rPr>
  </w:style>
  <w:style w:type="character" w:customStyle="1" w:styleId="BalloonTextChar">
    <w:name w:val="Balloon Text Char"/>
    <w:basedOn w:val="DefaultParagraphFont"/>
    <w:link w:val="BalloonText"/>
    <w:uiPriority w:val="99"/>
    <w:semiHidden/>
    <w:rsid w:val="00025644"/>
    <w:rPr>
      <w:rFonts w:cs="Times New Roman"/>
      <w:sz w:val="18"/>
      <w:szCs w:val="18"/>
      <w:lang w:val="en-CA"/>
    </w:rPr>
  </w:style>
  <w:style w:type="paragraph" w:styleId="FootnoteText">
    <w:name w:val="footnote text"/>
    <w:aliases w:val="Char"/>
    <w:basedOn w:val="Normal"/>
    <w:link w:val="FootnoteTextChar"/>
    <w:unhideWhenUsed/>
    <w:qFormat/>
    <w:rsid w:val="00B50427"/>
    <w:rPr>
      <w:rFonts w:asciiTheme="minorHAnsi" w:eastAsiaTheme="minorEastAsia" w:hAnsiTheme="minorHAnsi" w:cstheme="minorBidi"/>
      <w:lang w:val="en-US"/>
    </w:rPr>
  </w:style>
  <w:style w:type="character" w:customStyle="1" w:styleId="FootnoteTextChar">
    <w:name w:val="Footnote Text Char"/>
    <w:aliases w:val="Char Char"/>
    <w:basedOn w:val="DefaultParagraphFont"/>
    <w:link w:val="FootnoteText"/>
    <w:rsid w:val="00B50427"/>
    <w:rPr>
      <w:rFonts w:asciiTheme="minorHAnsi" w:eastAsiaTheme="minorEastAsia" w:hAnsiTheme="minorHAnsi"/>
    </w:rPr>
  </w:style>
  <w:style w:type="character" w:styleId="FootnoteReference">
    <w:name w:val="footnote reference"/>
    <w:aliases w:val="Footnotes refss"/>
    <w:basedOn w:val="DefaultParagraphFont"/>
    <w:unhideWhenUsed/>
    <w:rsid w:val="00B50427"/>
    <w:rPr>
      <w:vertAlign w:val="superscript"/>
    </w:rPr>
  </w:style>
  <w:style w:type="character" w:styleId="Hyperlink">
    <w:name w:val="Hyperlink"/>
    <w:basedOn w:val="DefaultParagraphFont"/>
    <w:uiPriority w:val="99"/>
    <w:unhideWhenUsed/>
    <w:rsid w:val="00B50427"/>
    <w:rPr>
      <w:color w:val="0563C1" w:themeColor="hyperlink"/>
      <w:u w:val="single"/>
    </w:rPr>
  </w:style>
  <w:style w:type="paragraph" w:styleId="NormalWeb">
    <w:name w:val="Normal (Web)"/>
    <w:basedOn w:val="Normal"/>
    <w:uiPriority w:val="99"/>
    <w:unhideWhenUsed/>
    <w:rsid w:val="00B50427"/>
    <w:pPr>
      <w:spacing w:before="100" w:beforeAutospacing="1" w:after="100" w:afterAutospacing="1"/>
    </w:pPr>
    <w:rPr>
      <w:rFonts w:ascii="Times" w:eastAsiaTheme="minorEastAsia" w:hAnsi="Times"/>
      <w:sz w:val="20"/>
      <w:szCs w:val="20"/>
      <w:lang w:val="en-US"/>
    </w:rPr>
  </w:style>
  <w:style w:type="paragraph" w:styleId="Footer">
    <w:name w:val="footer"/>
    <w:basedOn w:val="Normal"/>
    <w:link w:val="FooterChar"/>
    <w:uiPriority w:val="99"/>
    <w:unhideWhenUsed/>
    <w:rsid w:val="005C2046"/>
    <w:pPr>
      <w:tabs>
        <w:tab w:val="center" w:pos="4320"/>
        <w:tab w:val="right" w:pos="8640"/>
      </w:tabs>
    </w:pPr>
  </w:style>
  <w:style w:type="character" w:customStyle="1" w:styleId="FooterChar">
    <w:name w:val="Footer Char"/>
    <w:basedOn w:val="DefaultParagraphFont"/>
    <w:link w:val="Footer"/>
    <w:uiPriority w:val="99"/>
    <w:rsid w:val="005C2046"/>
    <w:rPr>
      <w:rFonts w:cs="Times New Roman"/>
      <w:lang w:val="en-CA"/>
    </w:rPr>
  </w:style>
  <w:style w:type="character" w:styleId="PageNumber">
    <w:name w:val="page number"/>
    <w:basedOn w:val="DefaultParagraphFont"/>
    <w:uiPriority w:val="99"/>
    <w:semiHidden/>
    <w:unhideWhenUsed/>
    <w:rsid w:val="005C2046"/>
  </w:style>
  <w:style w:type="paragraph" w:styleId="Header">
    <w:name w:val="header"/>
    <w:basedOn w:val="Normal"/>
    <w:link w:val="HeaderChar"/>
    <w:uiPriority w:val="99"/>
    <w:unhideWhenUsed/>
    <w:rsid w:val="002B5728"/>
    <w:pPr>
      <w:tabs>
        <w:tab w:val="center" w:pos="4320"/>
        <w:tab w:val="right" w:pos="8640"/>
      </w:tabs>
    </w:pPr>
  </w:style>
  <w:style w:type="character" w:customStyle="1" w:styleId="HeaderChar">
    <w:name w:val="Header Char"/>
    <w:basedOn w:val="DefaultParagraphFont"/>
    <w:link w:val="Header"/>
    <w:uiPriority w:val="99"/>
    <w:rsid w:val="002B5728"/>
    <w:rPr>
      <w:rFonts w:cs="Times New Roman"/>
      <w:lang w:val="en-CA"/>
    </w:rPr>
  </w:style>
  <w:style w:type="character" w:customStyle="1" w:styleId="A2">
    <w:name w:val="A2"/>
    <w:uiPriority w:val="99"/>
    <w:rsid w:val="0061243C"/>
    <w:rPr>
      <w:rFonts w:ascii="Meta Plus Normal" w:hAnsi="Meta Plus Normal" w:cs="Meta Plus Normal" w:hint="default"/>
      <w:color w:val="48656C"/>
      <w:sz w:val="56"/>
      <w:szCs w:val="56"/>
    </w:rPr>
  </w:style>
  <w:style w:type="character" w:customStyle="1" w:styleId="A4">
    <w:name w:val="A4"/>
    <w:uiPriority w:val="99"/>
    <w:rsid w:val="0061243C"/>
    <w:rPr>
      <w:rFonts w:ascii="Meta Plus Normal" w:hAnsi="Meta Plus Normal" w:cs="Meta Plus Normal" w:hint="default"/>
      <w:color w:val="48656C"/>
      <w:sz w:val="22"/>
      <w:szCs w:val="22"/>
    </w:rPr>
  </w:style>
  <w:style w:type="character" w:styleId="Strong">
    <w:name w:val="Strong"/>
    <w:basedOn w:val="DefaultParagraphFont"/>
    <w:uiPriority w:val="22"/>
    <w:qFormat/>
    <w:rsid w:val="00895393"/>
    <w:rPr>
      <w:b/>
      <w:bCs/>
    </w:rPr>
  </w:style>
  <w:style w:type="character" w:customStyle="1" w:styleId="Heading1Char">
    <w:name w:val="Heading 1 Char"/>
    <w:basedOn w:val="DefaultParagraphFont"/>
    <w:link w:val="Heading1"/>
    <w:uiPriority w:val="9"/>
    <w:rsid w:val="00EA0C84"/>
    <w:rPr>
      <w:rFonts w:asciiTheme="majorHAnsi" w:eastAsiaTheme="majorEastAsia" w:hAnsiTheme="majorHAnsi" w:cstheme="majorBidi"/>
      <w:b/>
      <w:bCs/>
      <w:color w:val="2E74B5" w:themeColor="accent1" w:themeShade="BF"/>
      <w:sz w:val="28"/>
      <w:szCs w:val="28"/>
      <w:lang w:bidi="en-US"/>
    </w:rPr>
  </w:style>
  <w:style w:type="paragraph" w:styleId="TOCHeading">
    <w:name w:val="TOC Heading"/>
    <w:basedOn w:val="Heading1"/>
    <w:next w:val="Normal"/>
    <w:uiPriority w:val="39"/>
    <w:unhideWhenUsed/>
    <w:qFormat/>
    <w:rsid w:val="00EA0C84"/>
    <w:pPr>
      <w:outlineLvl w:val="9"/>
    </w:pPr>
    <w:rPr>
      <w:lang w:bidi="ar-SA"/>
    </w:rPr>
  </w:style>
  <w:style w:type="paragraph" w:styleId="TOC1">
    <w:name w:val="toc 1"/>
    <w:basedOn w:val="Normal"/>
    <w:next w:val="Normal"/>
    <w:autoRedefine/>
    <w:uiPriority w:val="39"/>
    <w:unhideWhenUsed/>
    <w:rsid w:val="00EA0C84"/>
    <w:pPr>
      <w:spacing w:before="120"/>
    </w:pPr>
    <w:rPr>
      <w:rFonts w:asciiTheme="minorHAnsi" w:hAnsiTheme="minorHAnsi"/>
      <w:b/>
    </w:rPr>
  </w:style>
  <w:style w:type="paragraph" w:styleId="TOC2">
    <w:name w:val="toc 2"/>
    <w:basedOn w:val="Normal"/>
    <w:next w:val="Normal"/>
    <w:autoRedefine/>
    <w:uiPriority w:val="39"/>
    <w:unhideWhenUsed/>
    <w:rsid w:val="00EA0C84"/>
    <w:pPr>
      <w:ind w:left="240"/>
    </w:pPr>
    <w:rPr>
      <w:rFonts w:asciiTheme="minorHAnsi" w:hAnsiTheme="minorHAnsi"/>
      <w:b/>
      <w:sz w:val="22"/>
      <w:szCs w:val="22"/>
    </w:rPr>
  </w:style>
  <w:style w:type="paragraph" w:styleId="TOC3">
    <w:name w:val="toc 3"/>
    <w:basedOn w:val="Normal"/>
    <w:next w:val="Normal"/>
    <w:autoRedefine/>
    <w:uiPriority w:val="39"/>
    <w:unhideWhenUsed/>
    <w:rsid w:val="00EA0C84"/>
    <w:pPr>
      <w:ind w:left="480"/>
    </w:pPr>
    <w:rPr>
      <w:rFonts w:asciiTheme="minorHAnsi" w:hAnsiTheme="minorHAnsi"/>
      <w:sz w:val="22"/>
      <w:szCs w:val="22"/>
    </w:rPr>
  </w:style>
  <w:style w:type="paragraph" w:styleId="TOC4">
    <w:name w:val="toc 4"/>
    <w:basedOn w:val="Normal"/>
    <w:next w:val="Normal"/>
    <w:autoRedefine/>
    <w:uiPriority w:val="39"/>
    <w:semiHidden/>
    <w:unhideWhenUsed/>
    <w:rsid w:val="00EA0C84"/>
    <w:pPr>
      <w:ind w:left="720"/>
    </w:pPr>
    <w:rPr>
      <w:rFonts w:asciiTheme="minorHAnsi" w:hAnsiTheme="minorHAnsi"/>
      <w:sz w:val="20"/>
      <w:szCs w:val="20"/>
    </w:rPr>
  </w:style>
  <w:style w:type="paragraph" w:styleId="TOC5">
    <w:name w:val="toc 5"/>
    <w:basedOn w:val="Normal"/>
    <w:next w:val="Normal"/>
    <w:autoRedefine/>
    <w:uiPriority w:val="39"/>
    <w:semiHidden/>
    <w:unhideWhenUsed/>
    <w:rsid w:val="00EA0C84"/>
    <w:pPr>
      <w:ind w:left="960"/>
    </w:pPr>
    <w:rPr>
      <w:rFonts w:asciiTheme="minorHAnsi" w:hAnsiTheme="minorHAnsi"/>
      <w:sz w:val="20"/>
      <w:szCs w:val="20"/>
    </w:rPr>
  </w:style>
  <w:style w:type="paragraph" w:styleId="TOC6">
    <w:name w:val="toc 6"/>
    <w:basedOn w:val="Normal"/>
    <w:next w:val="Normal"/>
    <w:autoRedefine/>
    <w:uiPriority w:val="39"/>
    <w:semiHidden/>
    <w:unhideWhenUsed/>
    <w:rsid w:val="00EA0C84"/>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EA0C84"/>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EA0C84"/>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EA0C84"/>
    <w:pPr>
      <w:ind w:left="1920"/>
    </w:pPr>
    <w:rPr>
      <w:rFonts w:asciiTheme="minorHAnsi" w:hAnsiTheme="minorHAnsi"/>
      <w:sz w:val="20"/>
      <w:szCs w:val="20"/>
    </w:rPr>
  </w:style>
  <w:style w:type="character" w:customStyle="1" w:styleId="Heading2Char">
    <w:name w:val="Heading 2 Char"/>
    <w:basedOn w:val="DefaultParagraphFont"/>
    <w:link w:val="Heading2"/>
    <w:uiPriority w:val="9"/>
    <w:rsid w:val="00A86654"/>
    <w:rPr>
      <w:rFonts w:asciiTheme="majorHAnsi" w:eastAsiaTheme="majorEastAsia" w:hAnsiTheme="majorHAnsi" w:cstheme="majorBidi"/>
      <w:color w:val="2E74B5" w:themeColor="accent1" w:themeShade="BF"/>
      <w:sz w:val="26"/>
      <w:szCs w:val="26"/>
      <w:lang w:val="en-CA"/>
    </w:rPr>
  </w:style>
  <w:style w:type="character" w:customStyle="1" w:styleId="Heading3Char">
    <w:name w:val="Heading 3 Char"/>
    <w:basedOn w:val="DefaultParagraphFont"/>
    <w:link w:val="Heading3"/>
    <w:uiPriority w:val="9"/>
    <w:rsid w:val="00256CF2"/>
    <w:rPr>
      <w:rFonts w:asciiTheme="majorHAnsi" w:eastAsiaTheme="majorEastAsia" w:hAnsiTheme="majorHAnsi" w:cstheme="majorBidi"/>
      <w:b/>
      <w:bCs/>
      <w:color w:val="5B9BD5" w:themeColor="accent1"/>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lang w:val="en-CA"/>
    </w:rPr>
  </w:style>
  <w:style w:type="paragraph" w:styleId="Heading1">
    <w:name w:val="heading 1"/>
    <w:basedOn w:val="Normal"/>
    <w:next w:val="Normal"/>
    <w:link w:val="Heading1Char"/>
    <w:uiPriority w:val="9"/>
    <w:qFormat/>
    <w:rsid w:val="00EA0C84"/>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n-US" w:bidi="en-US"/>
    </w:rPr>
  </w:style>
  <w:style w:type="paragraph" w:styleId="Heading2">
    <w:name w:val="heading 2"/>
    <w:basedOn w:val="Normal"/>
    <w:next w:val="Normal"/>
    <w:link w:val="Heading2Char"/>
    <w:uiPriority w:val="9"/>
    <w:unhideWhenUsed/>
    <w:qFormat/>
    <w:rsid w:val="00A8665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56CF2"/>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2B8"/>
    <w:pPr>
      <w:ind w:left="720"/>
      <w:contextualSpacing/>
    </w:pPr>
  </w:style>
  <w:style w:type="character" w:styleId="CommentReference">
    <w:name w:val="annotation reference"/>
    <w:basedOn w:val="DefaultParagraphFont"/>
    <w:uiPriority w:val="99"/>
    <w:semiHidden/>
    <w:unhideWhenUsed/>
    <w:rsid w:val="00025644"/>
    <w:rPr>
      <w:sz w:val="18"/>
      <w:szCs w:val="18"/>
    </w:rPr>
  </w:style>
  <w:style w:type="paragraph" w:styleId="CommentText">
    <w:name w:val="annotation text"/>
    <w:basedOn w:val="Normal"/>
    <w:link w:val="CommentTextChar"/>
    <w:uiPriority w:val="99"/>
    <w:unhideWhenUsed/>
    <w:rsid w:val="00025644"/>
  </w:style>
  <w:style w:type="character" w:customStyle="1" w:styleId="CommentTextChar">
    <w:name w:val="Comment Text Char"/>
    <w:basedOn w:val="DefaultParagraphFont"/>
    <w:link w:val="CommentText"/>
    <w:uiPriority w:val="99"/>
    <w:rsid w:val="00025644"/>
    <w:rPr>
      <w:rFonts w:cs="Times New Roman"/>
      <w:lang w:val="en-CA"/>
    </w:rPr>
  </w:style>
  <w:style w:type="paragraph" w:styleId="CommentSubject">
    <w:name w:val="annotation subject"/>
    <w:basedOn w:val="CommentText"/>
    <w:next w:val="CommentText"/>
    <w:link w:val="CommentSubjectChar"/>
    <w:uiPriority w:val="99"/>
    <w:semiHidden/>
    <w:unhideWhenUsed/>
    <w:rsid w:val="00025644"/>
    <w:rPr>
      <w:b/>
      <w:bCs/>
      <w:sz w:val="20"/>
      <w:szCs w:val="20"/>
    </w:rPr>
  </w:style>
  <w:style w:type="character" w:customStyle="1" w:styleId="CommentSubjectChar">
    <w:name w:val="Comment Subject Char"/>
    <w:basedOn w:val="CommentTextChar"/>
    <w:link w:val="CommentSubject"/>
    <w:uiPriority w:val="99"/>
    <w:semiHidden/>
    <w:rsid w:val="00025644"/>
    <w:rPr>
      <w:rFonts w:cs="Times New Roman"/>
      <w:b/>
      <w:bCs/>
      <w:sz w:val="20"/>
      <w:szCs w:val="20"/>
      <w:lang w:val="en-CA"/>
    </w:rPr>
  </w:style>
  <w:style w:type="paragraph" w:styleId="BalloonText">
    <w:name w:val="Balloon Text"/>
    <w:basedOn w:val="Normal"/>
    <w:link w:val="BalloonTextChar"/>
    <w:uiPriority w:val="99"/>
    <w:semiHidden/>
    <w:unhideWhenUsed/>
    <w:rsid w:val="00025644"/>
    <w:rPr>
      <w:sz w:val="18"/>
      <w:szCs w:val="18"/>
    </w:rPr>
  </w:style>
  <w:style w:type="character" w:customStyle="1" w:styleId="BalloonTextChar">
    <w:name w:val="Balloon Text Char"/>
    <w:basedOn w:val="DefaultParagraphFont"/>
    <w:link w:val="BalloonText"/>
    <w:uiPriority w:val="99"/>
    <w:semiHidden/>
    <w:rsid w:val="00025644"/>
    <w:rPr>
      <w:rFonts w:cs="Times New Roman"/>
      <w:sz w:val="18"/>
      <w:szCs w:val="18"/>
      <w:lang w:val="en-CA"/>
    </w:rPr>
  </w:style>
  <w:style w:type="paragraph" w:styleId="FootnoteText">
    <w:name w:val="footnote text"/>
    <w:aliases w:val="Char"/>
    <w:basedOn w:val="Normal"/>
    <w:link w:val="FootnoteTextChar"/>
    <w:unhideWhenUsed/>
    <w:qFormat/>
    <w:rsid w:val="00B50427"/>
    <w:rPr>
      <w:rFonts w:asciiTheme="minorHAnsi" w:eastAsiaTheme="minorEastAsia" w:hAnsiTheme="minorHAnsi" w:cstheme="minorBidi"/>
      <w:lang w:val="en-US"/>
    </w:rPr>
  </w:style>
  <w:style w:type="character" w:customStyle="1" w:styleId="FootnoteTextChar">
    <w:name w:val="Footnote Text Char"/>
    <w:aliases w:val="Char Char"/>
    <w:basedOn w:val="DefaultParagraphFont"/>
    <w:link w:val="FootnoteText"/>
    <w:rsid w:val="00B50427"/>
    <w:rPr>
      <w:rFonts w:asciiTheme="minorHAnsi" w:eastAsiaTheme="minorEastAsia" w:hAnsiTheme="minorHAnsi"/>
    </w:rPr>
  </w:style>
  <w:style w:type="character" w:styleId="FootnoteReference">
    <w:name w:val="footnote reference"/>
    <w:aliases w:val="Footnotes refss"/>
    <w:basedOn w:val="DefaultParagraphFont"/>
    <w:unhideWhenUsed/>
    <w:rsid w:val="00B50427"/>
    <w:rPr>
      <w:vertAlign w:val="superscript"/>
    </w:rPr>
  </w:style>
  <w:style w:type="character" w:styleId="Hyperlink">
    <w:name w:val="Hyperlink"/>
    <w:basedOn w:val="DefaultParagraphFont"/>
    <w:uiPriority w:val="99"/>
    <w:unhideWhenUsed/>
    <w:rsid w:val="00B50427"/>
    <w:rPr>
      <w:color w:val="0563C1" w:themeColor="hyperlink"/>
      <w:u w:val="single"/>
    </w:rPr>
  </w:style>
  <w:style w:type="paragraph" w:styleId="NormalWeb">
    <w:name w:val="Normal (Web)"/>
    <w:basedOn w:val="Normal"/>
    <w:uiPriority w:val="99"/>
    <w:unhideWhenUsed/>
    <w:rsid w:val="00B50427"/>
    <w:pPr>
      <w:spacing w:before="100" w:beforeAutospacing="1" w:after="100" w:afterAutospacing="1"/>
    </w:pPr>
    <w:rPr>
      <w:rFonts w:ascii="Times" w:eastAsiaTheme="minorEastAsia" w:hAnsi="Times"/>
      <w:sz w:val="20"/>
      <w:szCs w:val="20"/>
      <w:lang w:val="en-US"/>
    </w:rPr>
  </w:style>
  <w:style w:type="paragraph" w:styleId="Footer">
    <w:name w:val="footer"/>
    <w:basedOn w:val="Normal"/>
    <w:link w:val="FooterChar"/>
    <w:uiPriority w:val="99"/>
    <w:unhideWhenUsed/>
    <w:rsid w:val="005C2046"/>
    <w:pPr>
      <w:tabs>
        <w:tab w:val="center" w:pos="4320"/>
        <w:tab w:val="right" w:pos="8640"/>
      </w:tabs>
    </w:pPr>
  </w:style>
  <w:style w:type="character" w:customStyle="1" w:styleId="FooterChar">
    <w:name w:val="Footer Char"/>
    <w:basedOn w:val="DefaultParagraphFont"/>
    <w:link w:val="Footer"/>
    <w:uiPriority w:val="99"/>
    <w:rsid w:val="005C2046"/>
    <w:rPr>
      <w:rFonts w:cs="Times New Roman"/>
      <w:lang w:val="en-CA"/>
    </w:rPr>
  </w:style>
  <w:style w:type="character" w:styleId="PageNumber">
    <w:name w:val="page number"/>
    <w:basedOn w:val="DefaultParagraphFont"/>
    <w:uiPriority w:val="99"/>
    <w:semiHidden/>
    <w:unhideWhenUsed/>
    <w:rsid w:val="005C2046"/>
  </w:style>
  <w:style w:type="paragraph" w:styleId="Header">
    <w:name w:val="header"/>
    <w:basedOn w:val="Normal"/>
    <w:link w:val="HeaderChar"/>
    <w:uiPriority w:val="99"/>
    <w:unhideWhenUsed/>
    <w:rsid w:val="002B5728"/>
    <w:pPr>
      <w:tabs>
        <w:tab w:val="center" w:pos="4320"/>
        <w:tab w:val="right" w:pos="8640"/>
      </w:tabs>
    </w:pPr>
  </w:style>
  <w:style w:type="character" w:customStyle="1" w:styleId="HeaderChar">
    <w:name w:val="Header Char"/>
    <w:basedOn w:val="DefaultParagraphFont"/>
    <w:link w:val="Header"/>
    <w:uiPriority w:val="99"/>
    <w:rsid w:val="002B5728"/>
    <w:rPr>
      <w:rFonts w:cs="Times New Roman"/>
      <w:lang w:val="en-CA"/>
    </w:rPr>
  </w:style>
  <w:style w:type="character" w:customStyle="1" w:styleId="A2">
    <w:name w:val="A2"/>
    <w:uiPriority w:val="99"/>
    <w:rsid w:val="0061243C"/>
    <w:rPr>
      <w:rFonts w:ascii="Meta Plus Normal" w:hAnsi="Meta Plus Normal" w:cs="Meta Plus Normal" w:hint="default"/>
      <w:color w:val="48656C"/>
      <w:sz w:val="56"/>
      <w:szCs w:val="56"/>
    </w:rPr>
  </w:style>
  <w:style w:type="character" w:customStyle="1" w:styleId="A4">
    <w:name w:val="A4"/>
    <w:uiPriority w:val="99"/>
    <w:rsid w:val="0061243C"/>
    <w:rPr>
      <w:rFonts w:ascii="Meta Plus Normal" w:hAnsi="Meta Plus Normal" w:cs="Meta Plus Normal" w:hint="default"/>
      <w:color w:val="48656C"/>
      <w:sz w:val="22"/>
      <w:szCs w:val="22"/>
    </w:rPr>
  </w:style>
  <w:style w:type="character" w:styleId="Strong">
    <w:name w:val="Strong"/>
    <w:basedOn w:val="DefaultParagraphFont"/>
    <w:uiPriority w:val="22"/>
    <w:qFormat/>
    <w:rsid w:val="00895393"/>
    <w:rPr>
      <w:b/>
      <w:bCs/>
    </w:rPr>
  </w:style>
  <w:style w:type="character" w:customStyle="1" w:styleId="Heading1Char">
    <w:name w:val="Heading 1 Char"/>
    <w:basedOn w:val="DefaultParagraphFont"/>
    <w:link w:val="Heading1"/>
    <w:uiPriority w:val="9"/>
    <w:rsid w:val="00EA0C84"/>
    <w:rPr>
      <w:rFonts w:asciiTheme="majorHAnsi" w:eastAsiaTheme="majorEastAsia" w:hAnsiTheme="majorHAnsi" w:cstheme="majorBidi"/>
      <w:b/>
      <w:bCs/>
      <w:color w:val="2E74B5" w:themeColor="accent1" w:themeShade="BF"/>
      <w:sz w:val="28"/>
      <w:szCs w:val="28"/>
      <w:lang w:bidi="en-US"/>
    </w:rPr>
  </w:style>
  <w:style w:type="paragraph" w:styleId="TOCHeading">
    <w:name w:val="TOC Heading"/>
    <w:basedOn w:val="Heading1"/>
    <w:next w:val="Normal"/>
    <w:uiPriority w:val="39"/>
    <w:unhideWhenUsed/>
    <w:qFormat/>
    <w:rsid w:val="00EA0C84"/>
    <w:pPr>
      <w:outlineLvl w:val="9"/>
    </w:pPr>
    <w:rPr>
      <w:lang w:bidi="ar-SA"/>
    </w:rPr>
  </w:style>
  <w:style w:type="paragraph" w:styleId="TOC1">
    <w:name w:val="toc 1"/>
    <w:basedOn w:val="Normal"/>
    <w:next w:val="Normal"/>
    <w:autoRedefine/>
    <w:uiPriority w:val="39"/>
    <w:unhideWhenUsed/>
    <w:rsid w:val="00EA0C84"/>
    <w:pPr>
      <w:spacing w:before="120"/>
    </w:pPr>
    <w:rPr>
      <w:rFonts w:asciiTheme="minorHAnsi" w:hAnsiTheme="minorHAnsi"/>
      <w:b/>
    </w:rPr>
  </w:style>
  <w:style w:type="paragraph" w:styleId="TOC2">
    <w:name w:val="toc 2"/>
    <w:basedOn w:val="Normal"/>
    <w:next w:val="Normal"/>
    <w:autoRedefine/>
    <w:uiPriority w:val="39"/>
    <w:unhideWhenUsed/>
    <w:rsid w:val="00EA0C84"/>
    <w:pPr>
      <w:ind w:left="240"/>
    </w:pPr>
    <w:rPr>
      <w:rFonts w:asciiTheme="minorHAnsi" w:hAnsiTheme="minorHAnsi"/>
      <w:b/>
      <w:sz w:val="22"/>
      <w:szCs w:val="22"/>
    </w:rPr>
  </w:style>
  <w:style w:type="paragraph" w:styleId="TOC3">
    <w:name w:val="toc 3"/>
    <w:basedOn w:val="Normal"/>
    <w:next w:val="Normal"/>
    <w:autoRedefine/>
    <w:uiPriority w:val="39"/>
    <w:unhideWhenUsed/>
    <w:rsid w:val="00EA0C84"/>
    <w:pPr>
      <w:ind w:left="480"/>
    </w:pPr>
    <w:rPr>
      <w:rFonts w:asciiTheme="minorHAnsi" w:hAnsiTheme="minorHAnsi"/>
      <w:sz w:val="22"/>
      <w:szCs w:val="22"/>
    </w:rPr>
  </w:style>
  <w:style w:type="paragraph" w:styleId="TOC4">
    <w:name w:val="toc 4"/>
    <w:basedOn w:val="Normal"/>
    <w:next w:val="Normal"/>
    <w:autoRedefine/>
    <w:uiPriority w:val="39"/>
    <w:semiHidden/>
    <w:unhideWhenUsed/>
    <w:rsid w:val="00EA0C84"/>
    <w:pPr>
      <w:ind w:left="720"/>
    </w:pPr>
    <w:rPr>
      <w:rFonts w:asciiTheme="minorHAnsi" w:hAnsiTheme="minorHAnsi"/>
      <w:sz w:val="20"/>
      <w:szCs w:val="20"/>
    </w:rPr>
  </w:style>
  <w:style w:type="paragraph" w:styleId="TOC5">
    <w:name w:val="toc 5"/>
    <w:basedOn w:val="Normal"/>
    <w:next w:val="Normal"/>
    <w:autoRedefine/>
    <w:uiPriority w:val="39"/>
    <w:semiHidden/>
    <w:unhideWhenUsed/>
    <w:rsid w:val="00EA0C84"/>
    <w:pPr>
      <w:ind w:left="960"/>
    </w:pPr>
    <w:rPr>
      <w:rFonts w:asciiTheme="minorHAnsi" w:hAnsiTheme="minorHAnsi"/>
      <w:sz w:val="20"/>
      <w:szCs w:val="20"/>
    </w:rPr>
  </w:style>
  <w:style w:type="paragraph" w:styleId="TOC6">
    <w:name w:val="toc 6"/>
    <w:basedOn w:val="Normal"/>
    <w:next w:val="Normal"/>
    <w:autoRedefine/>
    <w:uiPriority w:val="39"/>
    <w:semiHidden/>
    <w:unhideWhenUsed/>
    <w:rsid w:val="00EA0C84"/>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EA0C84"/>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EA0C84"/>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EA0C84"/>
    <w:pPr>
      <w:ind w:left="1920"/>
    </w:pPr>
    <w:rPr>
      <w:rFonts w:asciiTheme="minorHAnsi" w:hAnsiTheme="minorHAnsi"/>
      <w:sz w:val="20"/>
      <w:szCs w:val="20"/>
    </w:rPr>
  </w:style>
  <w:style w:type="character" w:customStyle="1" w:styleId="Heading2Char">
    <w:name w:val="Heading 2 Char"/>
    <w:basedOn w:val="DefaultParagraphFont"/>
    <w:link w:val="Heading2"/>
    <w:uiPriority w:val="9"/>
    <w:rsid w:val="00A86654"/>
    <w:rPr>
      <w:rFonts w:asciiTheme="majorHAnsi" w:eastAsiaTheme="majorEastAsia" w:hAnsiTheme="majorHAnsi" w:cstheme="majorBidi"/>
      <w:color w:val="2E74B5" w:themeColor="accent1" w:themeShade="BF"/>
      <w:sz w:val="26"/>
      <w:szCs w:val="26"/>
      <w:lang w:val="en-CA"/>
    </w:rPr>
  </w:style>
  <w:style w:type="character" w:customStyle="1" w:styleId="Heading3Char">
    <w:name w:val="Heading 3 Char"/>
    <w:basedOn w:val="DefaultParagraphFont"/>
    <w:link w:val="Heading3"/>
    <w:uiPriority w:val="9"/>
    <w:rsid w:val="00256CF2"/>
    <w:rPr>
      <w:rFonts w:asciiTheme="majorHAnsi" w:eastAsiaTheme="majorEastAsia" w:hAnsiTheme="majorHAnsi" w:cstheme="majorBidi"/>
      <w:b/>
      <w:bCs/>
      <w:color w:val="5B9BD5" w:themeColor="accent1"/>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28431">
      <w:bodyDiv w:val="1"/>
      <w:marLeft w:val="0"/>
      <w:marRight w:val="0"/>
      <w:marTop w:val="0"/>
      <w:marBottom w:val="0"/>
      <w:divBdr>
        <w:top w:val="none" w:sz="0" w:space="0" w:color="auto"/>
        <w:left w:val="none" w:sz="0" w:space="0" w:color="auto"/>
        <w:bottom w:val="none" w:sz="0" w:space="0" w:color="auto"/>
        <w:right w:val="none" w:sz="0" w:space="0" w:color="auto"/>
      </w:divBdr>
    </w:div>
    <w:div w:id="60055944">
      <w:bodyDiv w:val="1"/>
      <w:marLeft w:val="0"/>
      <w:marRight w:val="0"/>
      <w:marTop w:val="0"/>
      <w:marBottom w:val="0"/>
      <w:divBdr>
        <w:top w:val="none" w:sz="0" w:space="0" w:color="auto"/>
        <w:left w:val="none" w:sz="0" w:space="0" w:color="auto"/>
        <w:bottom w:val="none" w:sz="0" w:space="0" w:color="auto"/>
        <w:right w:val="none" w:sz="0" w:space="0" w:color="auto"/>
      </w:divBdr>
    </w:div>
    <w:div w:id="60645260">
      <w:bodyDiv w:val="1"/>
      <w:marLeft w:val="0"/>
      <w:marRight w:val="0"/>
      <w:marTop w:val="0"/>
      <w:marBottom w:val="0"/>
      <w:divBdr>
        <w:top w:val="none" w:sz="0" w:space="0" w:color="auto"/>
        <w:left w:val="none" w:sz="0" w:space="0" w:color="auto"/>
        <w:bottom w:val="none" w:sz="0" w:space="0" w:color="auto"/>
        <w:right w:val="none" w:sz="0" w:space="0" w:color="auto"/>
      </w:divBdr>
    </w:div>
    <w:div w:id="199518241">
      <w:bodyDiv w:val="1"/>
      <w:marLeft w:val="0"/>
      <w:marRight w:val="0"/>
      <w:marTop w:val="0"/>
      <w:marBottom w:val="0"/>
      <w:divBdr>
        <w:top w:val="none" w:sz="0" w:space="0" w:color="auto"/>
        <w:left w:val="none" w:sz="0" w:space="0" w:color="auto"/>
        <w:bottom w:val="none" w:sz="0" w:space="0" w:color="auto"/>
        <w:right w:val="none" w:sz="0" w:space="0" w:color="auto"/>
      </w:divBdr>
      <w:divsChild>
        <w:div w:id="861086205">
          <w:marLeft w:val="0"/>
          <w:marRight w:val="0"/>
          <w:marTop w:val="0"/>
          <w:marBottom w:val="0"/>
          <w:divBdr>
            <w:top w:val="none" w:sz="0" w:space="0" w:color="auto"/>
            <w:left w:val="none" w:sz="0" w:space="0" w:color="auto"/>
            <w:bottom w:val="none" w:sz="0" w:space="0" w:color="auto"/>
            <w:right w:val="none" w:sz="0" w:space="0" w:color="auto"/>
          </w:divBdr>
          <w:divsChild>
            <w:div w:id="1506166847">
              <w:marLeft w:val="0"/>
              <w:marRight w:val="0"/>
              <w:marTop w:val="0"/>
              <w:marBottom w:val="0"/>
              <w:divBdr>
                <w:top w:val="none" w:sz="0" w:space="0" w:color="auto"/>
                <w:left w:val="none" w:sz="0" w:space="0" w:color="auto"/>
                <w:bottom w:val="none" w:sz="0" w:space="0" w:color="auto"/>
                <w:right w:val="none" w:sz="0" w:space="0" w:color="auto"/>
              </w:divBdr>
              <w:divsChild>
                <w:div w:id="1787893904">
                  <w:marLeft w:val="0"/>
                  <w:marRight w:val="0"/>
                  <w:marTop w:val="0"/>
                  <w:marBottom w:val="0"/>
                  <w:divBdr>
                    <w:top w:val="none" w:sz="0" w:space="0" w:color="auto"/>
                    <w:left w:val="none" w:sz="0" w:space="0" w:color="auto"/>
                    <w:bottom w:val="none" w:sz="0" w:space="0" w:color="auto"/>
                    <w:right w:val="none" w:sz="0" w:space="0" w:color="auto"/>
                  </w:divBdr>
                  <w:divsChild>
                    <w:div w:id="49607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67006">
      <w:bodyDiv w:val="1"/>
      <w:marLeft w:val="0"/>
      <w:marRight w:val="0"/>
      <w:marTop w:val="0"/>
      <w:marBottom w:val="0"/>
      <w:divBdr>
        <w:top w:val="none" w:sz="0" w:space="0" w:color="auto"/>
        <w:left w:val="none" w:sz="0" w:space="0" w:color="auto"/>
        <w:bottom w:val="none" w:sz="0" w:space="0" w:color="auto"/>
        <w:right w:val="none" w:sz="0" w:space="0" w:color="auto"/>
      </w:divBdr>
    </w:div>
    <w:div w:id="409932155">
      <w:bodyDiv w:val="1"/>
      <w:marLeft w:val="0"/>
      <w:marRight w:val="0"/>
      <w:marTop w:val="0"/>
      <w:marBottom w:val="0"/>
      <w:divBdr>
        <w:top w:val="none" w:sz="0" w:space="0" w:color="auto"/>
        <w:left w:val="none" w:sz="0" w:space="0" w:color="auto"/>
        <w:bottom w:val="none" w:sz="0" w:space="0" w:color="auto"/>
        <w:right w:val="none" w:sz="0" w:space="0" w:color="auto"/>
      </w:divBdr>
    </w:div>
    <w:div w:id="418790881">
      <w:bodyDiv w:val="1"/>
      <w:marLeft w:val="0"/>
      <w:marRight w:val="0"/>
      <w:marTop w:val="0"/>
      <w:marBottom w:val="0"/>
      <w:divBdr>
        <w:top w:val="none" w:sz="0" w:space="0" w:color="auto"/>
        <w:left w:val="none" w:sz="0" w:space="0" w:color="auto"/>
        <w:bottom w:val="none" w:sz="0" w:space="0" w:color="auto"/>
        <w:right w:val="none" w:sz="0" w:space="0" w:color="auto"/>
      </w:divBdr>
    </w:div>
    <w:div w:id="479151813">
      <w:bodyDiv w:val="1"/>
      <w:marLeft w:val="0"/>
      <w:marRight w:val="0"/>
      <w:marTop w:val="0"/>
      <w:marBottom w:val="0"/>
      <w:divBdr>
        <w:top w:val="none" w:sz="0" w:space="0" w:color="auto"/>
        <w:left w:val="none" w:sz="0" w:space="0" w:color="auto"/>
        <w:bottom w:val="none" w:sz="0" w:space="0" w:color="auto"/>
        <w:right w:val="none" w:sz="0" w:space="0" w:color="auto"/>
      </w:divBdr>
    </w:div>
    <w:div w:id="488517328">
      <w:bodyDiv w:val="1"/>
      <w:marLeft w:val="0"/>
      <w:marRight w:val="0"/>
      <w:marTop w:val="0"/>
      <w:marBottom w:val="0"/>
      <w:divBdr>
        <w:top w:val="none" w:sz="0" w:space="0" w:color="auto"/>
        <w:left w:val="none" w:sz="0" w:space="0" w:color="auto"/>
        <w:bottom w:val="none" w:sz="0" w:space="0" w:color="auto"/>
        <w:right w:val="none" w:sz="0" w:space="0" w:color="auto"/>
      </w:divBdr>
    </w:div>
    <w:div w:id="495926756">
      <w:bodyDiv w:val="1"/>
      <w:marLeft w:val="0"/>
      <w:marRight w:val="0"/>
      <w:marTop w:val="0"/>
      <w:marBottom w:val="0"/>
      <w:divBdr>
        <w:top w:val="none" w:sz="0" w:space="0" w:color="auto"/>
        <w:left w:val="none" w:sz="0" w:space="0" w:color="auto"/>
        <w:bottom w:val="none" w:sz="0" w:space="0" w:color="auto"/>
        <w:right w:val="none" w:sz="0" w:space="0" w:color="auto"/>
      </w:divBdr>
    </w:div>
    <w:div w:id="511728073">
      <w:bodyDiv w:val="1"/>
      <w:marLeft w:val="0"/>
      <w:marRight w:val="0"/>
      <w:marTop w:val="0"/>
      <w:marBottom w:val="0"/>
      <w:divBdr>
        <w:top w:val="none" w:sz="0" w:space="0" w:color="auto"/>
        <w:left w:val="none" w:sz="0" w:space="0" w:color="auto"/>
        <w:bottom w:val="none" w:sz="0" w:space="0" w:color="auto"/>
        <w:right w:val="none" w:sz="0" w:space="0" w:color="auto"/>
      </w:divBdr>
      <w:divsChild>
        <w:div w:id="131287149">
          <w:marLeft w:val="0"/>
          <w:marRight w:val="0"/>
          <w:marTop w:val="0"/>
          <w:marBottom w:val="0"/>
          <w:divBdr>
            <w:top w:val="none" w:sz="0" w:space="0" w:color="auto"/>
            <w:left w:val="none" w:sz="0" w:space="0" w:color="auto"/>
            <w:bottom w:val="none" w:sz="0" w:space="0" w:color="auto"/>
            <w:right w:val="none" w:sz="0" w:space="0" w:color="auto"/>
          </w:divBdr>
          <w:divsChild>
            <w:div w:id="840127134">
              <w:marLeft w:val="0"/>
              <w:marRight w:val="0"/>
              <w:marTop w:val="0"/>
              <w:marBottom w:val="0"/>
              <w:divBdr>
                <w:top w:val="none" w:sz="0" w:space="0" w:color="auto"/>
                <w:left w:val="none" w:sz="0" w:space="0" w:color="auto"/>
                <w:bottom w:val="none" w:sz="0" w:space="0" w:color="auto"/>
                <w:right w:val="none" w:sz="0" w:space="0" w:color="auto"/>
              </w:divBdr>
              <w:divsChild>
                <w:div w:id="74607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7884">
      <w:bodyDiv w:val="1"/>
      <w:marLeft w:val="0"/>
      <w:marRight w:val="0"/>
      <w:marTop w:val="0"/>
      <w:marBottom w:val="0"/>
      <w:divBdr>
        <w:top w:val="none" w:sz="0" w:space="0" w:color="auto"/>
        <w:left w:val="none" w:sz="0" w:space="0" w:color="auto"/>
        <w:bottom w:val="none" w:sz="0" w:space="0" w:color="auto"/>
        <w:right w:val="none" w:sz="0" w:space="0" w:color="auto"/>
      </w:divBdr>
    </w:div>
    <w:div w:id="578171772">
      <w:bodyDiv w:val="1"/>
      <w:marLeft w:val="0"/>
      <w:marRight w:val="0"/>
      <w:marTop w:val="0"/>
      <w:marBottom w:val="0"/>
      <w:divBdr>
        <w:top w:val="none" w:sz="0" w:space="0" w:color="auto"/>
        <w:left w:val="none" w:sz="0" w:space="0" w:color="auto"/>
        <w:bottom w:val="none" w:sz="0" w:space="0" w:color="auto"/>
        <w:right w:val="none" w:sz="0" w:space="0" w:color="auto"/>
      </w:divBdr>
    </w:div>
    <w:div w:id="585311304">
      <w:bodyDiv w:val="1"/>
      <w:marLeft w:val="0"/>
      <w:marRight w:val="0"/>
      <w:marTop w:val="0"/>
      <w:marBottom w:val="0"/>
      <w:divBdr>
        <w:top w:val="none" w:sz="0" w:space="0" w:color="auto"/>
        <w:left w:val="none" w:sz="0" w:space="0" w:color="auto"/>
        <w:bottom w:val="none" w:sz="0" w:space="0" w:color="auto"/>
        <w:right w:val="none" w:sz="0" w:space="0" w:color="auto"/>
      </w:divBdr>
    </w:div>
    <w:div w:id="589890596">
      <w:bodyDiv w:val="1"/>
      <w:marLeft w:val="0"/>
      <w:marRight w:val="0"/>
      <w:marTop w:val="0"/>
      <w:marBottom w:val="0"/>
      <w:divBdr>
        <w:top w:val="none" w:sz="0" w:space="0" w:color="auto"/>
        <w:left w:val="none" w:sz="0" w:space="0" w:color="auto"/>
        <w:bottom w:val="none" w:sz="0" w:space="0" w:color="auto"/>
        <w:right w:val="none" w:sz="0" w:space="0" w:color="auto"/>
      </w:divBdr>
    </w:div>
    <w:div w:id="596255170">
      <w:bodyDiv w:val="1"/>
      <w:marLeft w:val="0"/>
      <w:marRight w:val="0"/>
      <w:marTop w:val="0"/>
      <w:marBottom w:val="0"/>
      <w:divBdr>
        <w:top w:val="none" w:sz="0" w:space="0" w:color="auto"/>
        <w:left w:val="none" w:sz="0" w:space="0" w:color="auto"/>
        <w:bottom w:val="none" w:sz="0" w:space="0" w:color="auto"/>
        <w:right w:val="none" w:sz="0" w:space="0" w:color="auto"/>
      </w:divBdr>
    </w:div>
    <w:div w:id="600189056">
      <w:bodyDiv w:val="1"/>
      <w:marLeft w:val="0"/>
      <w:marRight w:val="0"/>
      <w:marTop w:val="0"/>
      <w:marBottom w:val="0"/>
      <w:divBdr>
        <w:top w:val="none" w:sz="0" w:space="0" w:color="auto"/>
        <w:left w:val="none" w:sz="0" w:space="0" w:color="auto"/>
        <w:bottom w:val="none" w:sz="0" w:space="0" w:color="auto"/>
        <w:right w:val="none" w:sz="0" w:space="0" w:color="auto"/>
      </w:divBdr>
    </w:div>
    <w:div w:id="601494735">
      <w:bodyDiv w:val="1"/>
      <w:marLeft w:val="0"/>
      <w:marRight w:val="0"/>
      <w:marTop w:val="0"/>
      <w:marBottom w:val="0"/>
      <w:divBdr>
        <w:top w:val="none" w:sz="0" w:space="0" w:color="auto"/>
        <w:left w:val="none" w:sz="0" w:space="0" w:color="auto"/>
        <w:bottom w:val="none" w:sz="0" w:space="0" w:color="auto"/>
        <w:right w:val="none" w:sz="0" w:space="0" w:color="auto"/>
      </w:divBdr>
    </w:div>
    <w:div w:id="618878308">
      <w:bodyDiv w:val="1"/>
      <w:marLeft w:val="0"/>
      <w:marRight w:val="0"/>
      <w:marTop w:val="0"/>
      <w:marBottom w:val="0"/>
      <w:divBdr>
        <w:top w:val="none" w:sz="0" w:space="0" w:color="auto"/>
        <w:left w:val="none" w:sz="0" w:space="0" w:color="auto"/>
        <w:bottom w:val="none" w:sz="0" w:space="0" w:color="auto"/>
        <w:right w:val="none" w:sz="0" w:space="0" w:color="auto"/>
      </w:divBdr>
    </w:div>
    <w:div w:id="674380450">
      <w:bodyDiv w:val="1"/>
      <w:marLeft w:val="0"/>
      <w:marRight w:val="0"/>
      <w:marTop w:val="0"/>
      <w:marBottom w:val="0"/>
      <w:divBdr>
        <w:top w:val="none" w:sz="0" w:space="0" w:color="auto"/>
        <w:left w:val="none" w:sz="0" w:space="0" w:color="auto"/>
        <w:bottom w:val="none" w:sz="0" w:space="0" w:color="auto"/>
        <w:right w:val="none" w:sz="0" w:space="0" w:color="auto"/>
      </w:divBdr>
    </w:div>
    <w:div w:id="733505161">
      <w:bodyDiv w:val="1"/>
      <w:marLeft w:val="0"/>
      <w:marRight w:val="0"/>
      <w:marTop w:val="0"/>
      <w:marBottom w:val="0"/>
      <w:divBdr>
        <w:top w:val="none" w:sz="0" w:space="0" w:color="auto"/>
        <w:left w:val="none" w:sz="0" w:space="0" w:color="auto"/>
        <w:bottom w:val="none" w:sz="0" w:space="0" w:color="auto"/>
        <w:right w:val="none" w:sz="0" w:space="0" w:color="auto"/>
      </w:divBdr>
    </w:div>
    <w:div w:id="806700284">
      <w:bodyDiv w:val="1"/>
      <w:marLeft w:val="0"/>
      <w:marRight w:val="0"/>
      <w:marTop w:val="0"/>
      <w:marBottom w:val="0"/>
      <w:divBdr>
        <w:top w:val="none" w:sz="0" w:space="0" w:color="auto"/>
        <w:left w:val="none" w:sz="0" w:space="0" w:color="auto"/>
        <w:bottom w:val="none" w:sz="0" w:space="0" w:color="auto"/>
        <w:right w:val="none" w:sz="0" w:space="0" w:color="auto"/>
      </w:divBdr>
      <w:divsChild>
        <w:div w:id="1396397447">
          <w:marLeft w:val="0"/>
          <w:marRight w:val="0"/>
          <w:marTop w:val="0"/>
          <w:marBottom w:val="0"/>
          <w:divBdr>
            <w:top w:val="none" w:sz="0" w:space="0" w:color="auto"/>
            <w:left w:val="none" w:sz="0" w:space="0" w:color="auto"/>
            <w:bottom w:val="none" w:sz="0" w:space="0" w:color="auto"/>
            <w:right w:val="none" w:sz="0" w:space="0" w:color="auto"/>
          </w:divBdr>
          <w:divsChild>
            <w:div w:id="1531260563">
              <w:marLeft w:val="0"/>
              <w:marRight w:val="0"/>
              <w:marTop w:val="0"/>
              <w:marBottom w:val="0"/>
              <w:divBdr>
                <w:top w:val="none" w:sz="0" w:space="0" w:color="auto"/>
                <w:left w:val="none" w:sz="0" w:space="0" w:color="auto"/>
                <w:bottom w:val="none" w:sz="0" w:space="0" w:color="auto"/>
                <w:right w:val="none" w:sz="0" w:space="0" w:color="auto"/>
              </w:divBdr>
              <w:divsChild>
                <w:div w:id="212712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750423">
      <w:bodyDiv w:val="1"/>
      <w:marLeft w:val="0"/>
      <w:marRight w:val="0"/>
      <w:marTop w:val="0"/>
      <w:marBottom w:val="0"/>
      <w:divBdr>
        <w:top w:val="none" w:sz="0" w:space="0" w:color="auto"/>
        <w:left w:val="none" w:sz="0" w:space="0" w:color="auto"/>
        <w:bottom w:val="none" w:sz="0" w:space="0" w:color="auto"/>
        <w:right w:val="none" w:sz="0" w:space="0" w:color="auto"/>
      </w:divBdr>
    </w:div>
    <w:div w:id="831484468">
      <w:bodyDiv w:val="1"/>
      <w:marLeft w:val="0"/>
      <w:marRight w:val="0"/>
      <w:marTop w:val="0"/>
      <w:marBottom w:val="0"/>
      <w:divBdr>
        <w:top w:val="none" w:sz="0" w:space="0" w:color="auto"/>
        <w:left w:val="none" w:sz="0" w:space="0" w:color="auto"/>
        <w:bottom w:val="none" w:sz="0" w:space="0" w:color="auto"/>
        <w:right w:val="none" w:sz="0" w:space="0" w:color="auto"/>
      </w:divBdr>
    </w:div>
    <w:div w:id="859509424">
      <w:bodyDiv w:val="1"/>
      <w:marLeft w:val="0"/>
      <w:marRight w:val="0"/>
      <w:marTop w:val="0"/>
      <w:marBottom w:val="0"/>
      <w:divBdr>
        <w:top w:val="none" w:sz="0" w:space="0" w:color="auto"/>
        <w:left w:val="none" w:sz="0" w:space="0" w:color="auto"/>
        <w:bottom w:val="none" w:sz="0" w:space="0" w:color="auto"/>
        <w:right w:val="none" w:sz="0" w:space="0" w:color="auto"/>
      </w:divBdr>
    </w:div>
    <w:div w:id="898858828">
      <w:bodyDiv w:val="1"/>
      <w:marLeft w:val="0"/>
      <w:marRight w:val="0"/>
      <w:marTop w:val="0"/>
      <w:marBottom w:val="0"/>
      <w:divBdr>
        <w:top w:val="none" w:sz="0" w:space="0" w:color="auto"/>
        <w:left w:val="none" w:sz="0" w:space="0" w:color="auto"/>
        <w:bottom w:val="none" w:sz="0" w:space="0" w:color="auto"/>
        <w:right w:val="none" w:sz="0" w:space="0" w:color="auto"/>
      </w:divBdr>
    </w:div>
    <w:div w:id="949750037">
      <w:bodyDiv w:val="1"/>
      <w:marLeft w:val="0"/>
      <w:marRight w:val="0"/>
      <w:marTop w:val="0"/>
      <w:marBottom w:val="0"/>
      <w:divBdr>
        <w:top w:val="none" w:sz="0" w:space="0" w:color="auto"/>
        <w:left w:val="none" w:sz="0" w:space="0" w:color="auto"/>
        <w:bottom w:val="none" w:sz="0" w:space="0" w:color="auto"/>
        <w:right w:val="none" w:sz="0" w:space="0" w:color="auto"/>
      </w:divBdr>
    </w:div>
    <w:div w:id="956327862">
      <w:bodyDiv w:val="1"/>
      <w:marLeft w:val="0"/>
      <w:marRight w:val="0"/>
      <w:marTop w:val="0"/>
      <w:marBottom w:val="0"/>
      <w:divBdr>
        <w:top w:val="none" w:sz="0" w:space="0" w:color="auto"/>
        <w:left w:val="none" w:sz="0" w:space="0" w:color="auto"/>
        <w:bottom w:val="none" w:sz="0" w:space="0" w:color="auto"/>
        <w:right w:val="none" w:sz="0" w:space="0" w:color="auto"/>
      </w:divBdr>
    </w:div>
    <w:div w:id="958800265">
      <w:bodyDiv w:val="1"/>
      <w:marLeft w:val="0"/>
      <w:marRight w:val="0"/>
      <w:marTop w:val="0"/>
      <w:marBottom w:val="0"/>
      <w:divBdr>
        <w:top w:val="none" w:sz="0" w:space="0" w:color="auto"/>
        <w:left w:val="none" w:sz="0" w:space="0" w:color="auto"/>
        <w:bottom w:val="none" w:sz="0" w:space="0" w:color="auto"/>
        <w:right w:val="none" w:sz="0" w:space="0" w:color="auto"/>
      </w:divBdr>
    </w:div>
    <w:div w:id="1024330338">
      <w:bodyDiv w:val="1"/>
      <w:marLeft w:val="0"/>
      <w:marRight w:val="0"/>
      <w:marTop w:val="0"/>
      <w:marBottom w:val="0"/>
      <w:divBdr>
        <w:top w:val="none" w:sz="0" w:space="0" w:color="auto"/>
        <w:left w:val="none" w:sz="0" w:space="0" w:color="auto"/>
        <w:bottom w:val="none" w:sz="0" w:space="0" w:color="auto"/>
        <w:right w:val="none" w:sz="0" w:space="0" w:color="auto"/>
      </w:divBdr>
    </w:div>
    <w:div w:id="1028406949">
      <w:bodyDiv w:val="1"/>
      <w:marLeft w:val="0"/>
      <w:marRight w:val="0"/>
      <w:marTop w:val="0"/>
      <w:marBottom w:val="0"/>
      <w:divBdr>
        <w:top w:val="none" w:sz="0" w:space="0" w:color="auto"/>
        <w:left w:val="none" w:sz="0" w:space="0" w:color="auto"/>
        <w:bottom w:val="none" w:sz="0" w:space="0" w:color="auto"/>
        <w:right w:val="none" w:sz="0" w:space="0" w:color="auto"/>
      </w:divBdr>
    </w:div>
    <w:div w:id="1048187639">
      <w:bodyDiv w:val="1"/>
      <w:marLeft w:val="0"/>
      <w:marRight w:val="0"/>
      <w:marTop w:val="0"/>
      <w:marBottom w:val="0"/>
      <w:divBdr>
        <w:top w:val="none" w:sz="0" w:space="0" w:color="auto"/>
        <w:left w:val="none" w:sz="0" w:space="0" w:color="auto"/>
        <w:bottom w:val="none" w:sz="0" w:space="0" w:color="auto"/>
        <w:right w:val="none" w:sz="0" w:space="0" w:color="auto"/>
      </w:divBdr>
    </w:div>
    <w:div w:id="1076824992">
      <w:bodyDiv w:val="1"/>
      <w:marLeft w:val="0"/>
      <w:marRight w:val="0"/>
      <w:marTop w:val="0"/>
      <w:marBottom w:val="0"/>
      <w:divBdr>
        <w:top w:val="none" w:sz="0" w:space="0" w:color="auto"/>
        <w:left w:val="none" w:sz="0" w:space="0" w:color="auto"/>
        <w:bottom w:val="none" w:sz="0" w:space="0" w:color="auto"/>
        <w:right w:val="none" w:sz="0" w:space="0" w:color="auto"/>
      </w:divBdr>
      <w:divsChild>
        <w:div w:id="1045762428">
          <w:marLeft w:val="547"/>
          <w:marRight w:val="0"/>
          <w:marTop w:val="0"/>
          <w:marBottom w:val="0"/>
          <w:divBdr>
            <w:top w:val="none" w:sz="0" w:space="0" w:color="auto"/>
            <w:left w:val="none" w:sz="0" w:space="0" w:color="auto"/>
            <w:bottom w:val="none" w:sz="0" w:space="0" w:color="auto"/>
            <w:right w:val="none" w:sz="0" w:space="0" w:color="auto"/>
          </w:divBdr>
        </w:div>
      </w:divsChild>
    </w:div>
    <w:div w:id="1084718008">
      <w:bodyDiv w:val="1"/>
      <w:marLeft w:val="0"/>
      <w:marRight w:val="0"/>
      <w:marTop w:val="0"/>
      <w:marBottom w:val="0"/>
      <w:divBdr>
        <w:top w:val="none" w:sz="0" w:space="0" w:color="auto"/>
        <w:left w:val="none" w:sz="0" w:space="0" w:color="auto"/>
        <w:bottom w:val="none" w:sz="0" w:space="0" w:color="auto"/>
        <w:right w:val="none" w:sz="0" w:space="0" w:color="auto"/>
      </w:divBdr>
    </w:div>
    <w:div w:id="1134257658">
      <w:bodyDiv w:val="1"/>
      <w:marLeft w:val="0"/>
      <w:marRight w:val="0"/>
      <w:marTop w:val="0"/>
      <w:marBottom w:val="0"/>
      <w:divBdr>
        <w:top w:val="none" w:sz="0" w:space="0" w:color="auto"/>
        <w:left w:val="none" w:sz="0" w:space="0" w:color="auto"/>
        <w:bottom w:val="none" w:sz="0" w:space="0" w:color="auto"/>
        <w:right w:val="none" w:sz="0" w:space="0" w:color="auto"/>
      </w:divBdr>
    </w:div>
    <w:div w:id="1152795510">
      <w:bodyDiv w:val="1"/>
      <w:marLeft w:val="0"/>
      <w:marRight w:val="0"/>
      <w:marTop w:val="0"/>
      <w:marBottom w:val="0"/>
      <w:divBdr>
        <w:top w:val="none" w:sz="0" w:space="0" w:color="auto"/>
        <w:left w:val="none" w:sz="0" w:space="0" w:color="auto"/>
        <w:bottom w:val="none" w:sz="0" w:space="0" w:color="auto"/>
        <w:right w:val="none" w:sz="0" w:space="0" w:color="auto"/>
      </w:divBdr>
    </w:div>
    <w:div w:id="1186795034">
      <w:bodyDiv w:val="1"/>
      <w:marLeft w:val="0"/>
      <w:marRight w:val="0"/>
      <w:marTop w:val="0"/>
      <w:marBottom w:val="0"/>
      <w:divBdr>
        <w:top w:val="none" w:sz="0" w:space="0" w:color="auto"/>
        <w:left w:val="none" w:sz="0" w:space="0" w:color="auto"/>
        <w:bottom w:val="none" w:sz="0" w:space="0" w:color="auto"/>
        <w:right w:val="none" w:sz="0" w:space="0" w:color="auto"/>
      </w:divBdr>
    </w:div>
    <w:div w:id="1202087269">
      <w:bodyDiv w:val="1"/>
      <w:marLeft w:val="0"/>
      <w:marRight w:val="0"/>
      <w:marTop w:val="0"/>
      <w:marBottom w:val="0"/>
      <w:divBdr>
        <w:top w:val="none" w:sz="0" w:space="0" w:color="auto"/>
        <w:left w:val="none" w:sz="0" w:space="0" w:color="auto"/>
        <w:bottom w:val="none" w:sz="0" w:space="0" w:color="auto"/>
        <w:right w:val="none" w:sz="0" w:space="0" w:color="auto"/>
      </w:divBdr>
    </w:div>
    <w:div w:id="1226599435">
      <w:bodyDiv w:val="1"/>
      <w:marLeft w:val="0"/>
      <w:marRight w:val="0"/>
      <w:marTop w:val="0"/>
      <w:marBottom w:val="0"/>
      <w:divBdr>
        <w:top w:val="none" w:sz="0" w:space="0" w:color="auto"/>
        <w:left w:val="none" w:sz="0" w:space="0" w:color="auto"/>
        <w:bottom w:val="none" w:sz="0" w:space="0" w:color="auto"/>
        <w:right w:val="none" w:sz="0" w:space="0" w:color="auto"/>
      </w:divBdr>
    </w:div>
    <w:div w:id="1319186011">
      <w:bodyDiv w:val="1"/>
      <w:marLeft w:val="0"/>
      <w:marRight w:val="0"/>
      <w:marTop w:val="0"/>
      <w:marBottom w:val="0"/>
      <w:divBdr>
        <w:top w:val="none" w:sz="0" w:space="0" w:color="auto"/>
        <w:left w:val="none" w:sz="0" w:space="0" w:color="auto"/>
        <w:bottom w:val="none" w:sz="0" w:space="0" w:color="auto"/>
        <w:right w:val="none" w:sz="0" w:space="0" w:color="auto"/>
      </w:divBdr>
    </w:div>
    <w:div w:id="1336420913">
      <w:bodyDiv w:val="1"/>
      <w:marLeft w:val="0"/>
      <w:marRight w:val="0"/>
      <w:marTop w:val="0"/>
      <w:marBottom w:val="0"/>
      <w:divBdr>
        <w:top w:val="none" w:sz="0" w:space="0" w:color="auto"/>
        <w:left w:val="none" w:sz="0" w:space="0" w:color="auto"/>
        <w:bottom w:val="none" w:sz="0" w:space="0" w:color="auto"/>
        <w:right w:val="none" w:sz="0" w:space="0" w:color="auto"/>
      </w:divBdr>
    </w:div>
    <w:div w:id="1342976460">
      <w:bodyDiv w:val="1"/>
      <w:marLeft w:val="0"/>
      <w:marRight w:val="0"/>
      <w:marTop w:val="0"/>
      <w:marBottom w:val="0"/>
      <w:divBdr>
        <w:top w:val="none" w:sz="0" w:space="0" w:color="auto"/>
        <w:left w:val="none" w:sz="0" w:space="0" w:color="auto"/>
        <w:bottom w:val="none" w:sz="0" w:space="0" w:color="auto"/>
        <w:right w:val="none" w:sz="0" w:space="0" w:color="auto"/>
      </w:divBdr>
    </w:div>
    <w:div w:id="1489129394">
      <w:bodyDiv w:val="1"/>
      <w:marLeft w:val="0"/>
      <w:marRight w:val="0"/>
      <w:marTop w:val="0"/>
      <w:marBottom w:val="0"/>
      <w:divBdr>
        <w:top w:val="none" w:sz="0" w:space="0" w:color="auto"/>
        <w:left w:val="none" w:sz="0" w:space="0" w:color="auto"/>
        <w:bottom w:val="none" w:sz="0" w:space="0" w:color="auto"/>
        <w:right w:val="none" w:sz="0" w:space="0" w:color="auto"/>
      </w:divBdr>
    </w:div>
    <w:div w:id="1508859958">
      <w:bodyDiv w:val="1"/>
      <w:marLeft w:val="0"/>
      <w:marRight w:val="0"/>
      <w:marTop w:val="0"/>
      <w:marBottom w:val="0"/>
      <w:divBdr>
        <w:top w:val="none" w:sz="0" w:space="0" w:color="auto"/>
        <w:left w:val="none" w:sz="0" w:space="0" w:color="auto"/>
        <w:bottom w:val="none" w:sz="0" w:space="0" w:color="auto"/>
        <w:right w:val="none" w:sz="0" w:space="0" w:color="auto"/>
      </w:divBdr>
    </w:div>
    <w:div w:id="1554930518">
      <w:bodyDiv w:val="1"/>
      <w:marLeft w:val="0"/>
      <w:marRight w:val="0"/>
      <w:marTop w:val="0"/>
      <w:marBottom w:val="0"/>
      <w:divBdr>
        <w:top w:val="none" w:sz="0" w:space="0" w:color="auto"/>
        <w:left w:val="none" w:sz="0" w:space="0" w:color="auto"/>
        <w:bottom w:val="none" w:sz="0" w:space="0" w:color="auto"/>
        <w:right w:val="none" w:sz="0" w:space="0" w:color="auto"/>
      </w:divBdr>
    </w:div>
    <w:div w:id="1560820669">
      <w:bodyDiv w:val="1"/>
      <w:marLeft w:val="0"/>
      <w:marRight w:val="0"/>
      <w:marTop w:val="0"/>
      <w:marBottom w:val="0"/>
      <w:divBdr>
        <w:top w:val="none" w:sz="0" w:space="0" w:color="auto"/>
        <w:left w:val="none" w:sz="0" w:space="0" w:color="auto"/>
        <w:bottom w:val="none" w:sz="0" w:space="0" w:color="auto"/>
        <w:right w:val="none" w:sz="0" w:space="0" w:color="auto"/>
      </w:divBdr>
    </w:div>
    <w:div w:id="1587038448">
      <w:bodyDiv w:val="1"/>
      <w:marLeft w:val="0"/>
      <w:marRight w:val="0"/>
      <w:marTop w:val="0"/>
      <w:marBottom w:val="0"/>
      <w:divBdr>
        <w:top w:val="none" w:sz="0" w:space="0" w:color="auto"/>
        <w:left w:val="none" w:sz="0" w:space="0" w:color="auto"/>
        <w:bottom w:val="none" w:sz="0" w:space="0" w:color="auto"/>
        <w:right w:val="none" w:sz="0" w:space="0" w:color="auto"/>
      </w:divBdr>
    </w:div>
    <w:div w:id="1636174455">
      <w:bodyDiv w:val="1"/>
      <w:marLeft w:val="0"/>
      <w:marRight w:val="0"/>
      <w:marTop w:val="0"/>
      <w:marBottom w:val="0"/>
      <w:divBdr>
        <w:top w:val="none" w:sz="0" w:space="0" w:color="auto"/>
        <w:left w:val="none" w:sz="0" w:space="0" w:color="auto"/>
        <w:bottom w:val="none" w:sz="0" w:space="0" w:color="auto"/>
        <w:right w:val="none" w:sz="0" w:space="0" w:color="auto"/>
      </w:divBdr>
    </w:div>
    <w:div w:id="1648167320">
      <w:bodyDiv w:val="1"/>
      <w:marLeft w:val="0"/>
      <w:marRight w:val="0"/>
      <w:marTop w:val="0"/>
      <w:marBottom w:val="0"/>
      <w:divBdr>
        <w:top w:val="none" w:sz="0" w:space="0" w:color="auto"/>
        <w:left w:val="none" w:sz="0" w:space="0" w:color="auto"/>
        <w:bottom w:val="none" w:sz="0" w:space="0" w:color="auto"/>
        <w:right w:val="none" w:sz="0" w:space="0" w:color="auto"/>
      </w:divBdr>
    </w:div>
    <w:div w:id="1722360999">
      <w:bodyDiv w:val="1"/>
      <w:marLeft w:val="0"/>
      <w:marRight w:val="0"/>
      <w:marTop w:val="0"/>
      <w:marBottom w:val="0"/>
      <w:divBdr>
        <w:top w:val="none" w:sz="0" w:space="0" w:color="auto"/>
        <w:left w:val="none" w:sz="0" w:space="0" w:color="auto"/>
        <w:bottom w:val="none" w:sz="0" w:space="0" w:color="auto"/>
        <w:right w:val="none" w:sz="0" w:space="0" w:color="auto"/>
      </w:divBdr>
    </w:div>
    <w:div w:id="1730418369">
      <w:bodyDiv w:val="1"/>
      <w:marLeft w:val="0"/>
      <w:marRight w:val="0"/>
      <w:marTop w:val="0"/>
      <w:marBottom w:val="0"/>
      <w:divBdr>
        <w:top w:val="none" w:sz="0" w:space="0" w:color="auto"/>
        <w:left w:val="none" w:sz="0" w:space="0" w:color="auto"/>
        <w:bottom w:val="none" w:sz="0" w:space="0" w:color="auto"/>
        <w:right w:val="none" w:sz="0" w:space="0" w:color="auto"/>
      </w:divBdr>
    </w:div>
    <w:div w:id="1731417813">
      <w:bodyDiv w:val="1"/>
      <w:marLeft w:val="0"/>
      <w:marRight w:val="0"/>
      <w:marTop w:val="0"/>
      <w:marBottom w:val="0"/>
      <w:divBdr>
        <w:top w:val="none" w:sz="0" w:space="0" w:color="auto"/>
        <w:left w:val="none" w:sz="0" w:space="0" w:color="auto"/>
        <w:bottom w:val="none" w:sz="0" w:space="0" w:color="auto"/>
        <w:right w:val="none" w:sz="0" w:space="0" w:color="auto"/>
      </w:divBdr>
    </w:div>
    <w:div w:id="1770468125">
      <w:bodyDiv w:val="1"/>
      <w:marLeft w:val="0"/>
      <w:marRight w:val="0"/>
      <w:marTop w:val="0"/>
      <w:marBottom w:val="0"/>
      <w:divBdr>
        <w:top w:val="none" w:sz="0" w:space="0" w:color="auto"/>
        <w:left w:val="none" w:sz="0" w:space="0" w:color="auto"/>
        <w:bottom w:val="none" w:sz="0" w:space="0" w:color="auto"/>
        <w:right w:val="none" w:sz="0" w:space="0" w:color="auto"/>
      </w:divBdr>
    </w:div>
    <w:div w:id="1853227543">
      <w:bodyDiv w:val="1"/>
      <w:marLeft w:val="0"/>
      <w:marRight w:val="0"/>
      <w:marTop w:val="0"/>
      <w:marBottom w:val="0"/>
      <w:divBdr>
        <w:top w:val="none" w:sz="0" w:space="0" w:color="auto"/>
        <w:left w:val="none" w:sz="0" w:space="0" w:color="auto"/>
        <w:bottom w:val="none" w:sz="0" w:space="0" w:color="auto"/>
        <w:right w:val="none" w:sz="0" w:space="0" w:color="auto"/>
      </w:divBdr>
    </w:div>
    <w:div w:id="1878615966">
      <w:bodyDiv w:val="1"/>
      <w:marLeft w:val="0"/>
      <w:marRight w:val="0"/>
      <w:marTop w:val="0"/>
      <w:marBottom w:val="0"/>
      <w:divBdr>
        <w:top w:val="none" w:sz="0" w:space="0" w:color="auto"/>
        <w:left w:val="none" w:sz="0" w:space="0" w:color="auto"/>
        <w:bottom w:val="none" w:sz="0" w:space="0" w:color="auto"/>
        <w:right w:val="none" w:sz="0" w:space="0" w:color="auto"/>
      </w:divBdr>
    </w:div>
    <w:div w:id="1895313462">
      <w:bodyDiv w:val="1"/>
      <w:marLeft w:val="0"/>
      <w:marRight w:val="0"/>
      <w:marTop w:val="0"/>
      <w:marBottom w:val="0"/>
      <w:divBdr>
        <w:top w:val="none" w:sz="0" w:space="0" w:color="auto"/>
        <w:left w:val="none" w:sz="0" w:space="0" w:color="auto"/>
        <w:bottom w:val="none" w:sz="0" w:space="0" w:color="auto"/>
        <w:right w:val="none" w:sz="0" w:space="0" w:color="auto"/>
      </w:divBdr>
    </w:div>
    <w:div w:id="1898588779">
      <w:bodyDiv w:val="1"/>
      <w:marLeft w:val="0"/>
      <w:marRight w:val="0"/>
      <w:marTop w:val="0"/>
      <w:marBottom w:val="0"/>
      <w:divBdr>
        <w:top w:val="none" w:sz="0" w:space="0" w:color="auto"/>
        <w:left w:val="none" w:sz="0" w:space="0" w:color="auto"/>
        <w:bottom w:val="none" w:sz="0" w:space="0" w:color="auto"/>
        <w:right w:val="none" w:sz="0" w:space="0" w:color="auto"/>
      </w:divBdr>
    </w:div>
    <w:div w:id="1904173235">
      <w:bodyDiv w:val="1"/>
      <w:marLeft w:val="0"/>
      <w:marRight w:val="0"/>
      <w:marTop w:val="0"/>
      <w:marBottom w:val="0"/>
      <w:divBdr>
        <w:top w:val="none" w:sz="0" w:space="0" w:color="auto"/>
        <w:left w:val="none" w:sz="0" w:space="0" w:color="auto"/>
        <w:bottom w:val="none" w:sz="0" w:space="0" w:color="auto"/>
        <w:right w:val="none" w:sz="0" w:space="0" w:color="auto"/>
      </w:divBdr>
    </w:div>
    <w:div w:id="1910964738">
      <w:bodyDiv w:val="1"/>
      <w:marLeft w:val="0"/>
      <w:marRight w:val="0"/>
      <w:marTop w:val="0"/>
      <w:marBottom w:val="0"/>
      <w:divBdr>
        <w:top w:val="none" w:sz="0" w:space="0" w:color="auto"/>
        <w:left w:val="none" w:sz="0" w:space="0" w:color="auto"/>
        <w:bottom w:val="none" w:sz="0" w:space="0" w:color="auto"/>
        <w:right w:val="none" w:sz="0" w:space="0" w:color="auto"/>
      </w:divBdr>
    </w:div>
    <w:div w:id="1989020020">
      <w:bodyDiv w:val="1"/>
      <w:marLeft w:val="0"/>
      <w:marRight w:val="0"/>
      <w:marTop w:val="0"/>
      <w:marBottom w:val="0"/>
      <w:divBdr>
        <w:top w:val="none" w:sz="0" w:space="0" w:color="auto"/>
        <w:left w:val="none" w:sz="0" w:space="0" w:color="auto"/>
        <w:bottom w:val="none" w:sz="0" w:space="0" w:color="auto"/>
        <w:right w:val="none" w:sz="0" w:space="0" w:color="auto"/>
      </w:divBdr>
    </w:div>
    <w:div w:id="2019967975">
      <w:bodyDiv w:val="1"/>
      <w:marLeft w:val="0"/>
      <w:marRight w:val="0"/>
      <w:marTop w:val="0"/>
      <w:marBottom w:val="0"/>
      <w:divBdr>
        <w:top w:val="none" w:sz="0" w:space="0" w:color="auto"/>
        <w:left w:val="none" w:sz="0" w:space="0" w:color="auto"/>
        <w:bottom w:val="none" w:sz="0" w:space="0" w:color="auto"/>
        <w:right w:val="none" w:sz="0" w:space="0" w:color="auto"/>
      </w:divBdr>
    </w:div>
    <w:div w:id="2020306943">
      <w:bodyDiv w:val="1"/>
      <w:marLeft w:val="0"/>
      <w:marRight w:val="0"/>
      <w:marTop w:val="0"/>
      <w:marBottom w:val="0"/>
      <w:divBdr>
        <w:top w:val="none" w:sz="0" w:space="0" w:color="auto"/>
        <w:left w:val="none" w:sz="0" w:space="0" w:color="auto"/>
        <w:bottom w:val="none" w:sz="0" w:space="0" w:color="auto"/>
        <w:right w:val="none" w:sz="0" w:space="0" w:color="auto"/>
      </w:divBdr>
    </w:div>
    <w:div w:id="20963923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fontTable" Target="fontTable.xml"/><Relationship Id="rId26"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footer" Target="footer2.xml"/><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microsoft.com/office/2007/relationships/stylesWithEffects" Target="stylesWithEffects.xml"/><Relationship Id="rId15" Type="http://schemas.openxmlformats.org/officeDocument/2006/relationships/image" Target="media/image1.emf"/><Relationship Id="rId10" Type="http://schemas.openxmlformats.org/officeDocument/2006/relationships/diagramData" Target="diagrams/data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159D5F5-5964-B041-8A72-FD8F93E766B1}" type="doc">
      <dgm:prSet loTypeId="urn:microsoft.com/office/officeart/2005/8/layout/cycle6" loCatId="" qsTypeId="urn:microsoft.com/office/officeart/2005/8/quickstyle/simple3" qsCatId="simple" csTypeId="urn:microsoft.com/office/officeart/2005/8/colors/colorful4" csCatId="colorful" phldr="1"/>
      <dgm:spPr/>
      <dgm:t>
        <a:bodyPr/>
        <a:lstStyle/>
        <a:p>
          <a:endParaRPr lang="en-US"/>
        </a:p>
      </dgm:t>
    </dgm:pt>
    <dgm:pt modelId="{F2AE19FE-FAA0-5541-B4D1-3429802F7315}">
      <dgm:prSet phldrT="[Text]"/>
      <dgm:spPr/>
      <dgm:t>
        <a:bodyPr/>
        <a:lstStyle/>
        <a:p>
          <a:r>
            <a:rPr lang="en-US"/>
            <a:t>Collaboration</a:t>
          </a:r>
        </a:p>
      </dgm:t>
    </dgm:pt>
    <dgm:pt modelId="{8D1C082C-69D6-DF4E-9E92-D53F7534BCD4}" type="parTrans" cxnId="{5DCBC926-DE75-1E42-AA1E-10B21802997E}">
      <dgm:prSet/>
      <dgm:spPr/>
      <dgm:t>
        <a:bodyPr/>
        <a:lstStyle/>
        <a:p>
          <a:endParaRPr lang="en-US"/>
        </a:p>
      </dgm:t>
    </dgm:pt>
    <dgm:pt modelId="{30E7F1DB-D966-D44B-9E7D-E9AD331B370C}" type="sibTrans" cxnId="{5DCBC926-DE75-1E42-AA1E-10B21802997E}">
      <dgm:prSet/>
      <dgm:spPr/>
      <dgm:t>
        <a:bodyPr/>
        <a:lstStyle/>
        <a:p>
          <a:endParaRPr lang="en-US"/>
        </a:p>
      </dgm:t>
    </dgm:pt>
    <dgm:pt modelId="{1C7F0BC0-34A1-C441-9592-3D61FD255A28}">
      <dgm:prSet phldrT="[Text]"/>
      <dgm:spPr/>
      <dgm:t>
        <a:bodyPr/>
        <a:lstStyle/>
        <a:p>
          <a:r>
            <a:rPr lang="en-US"/>
            <a:t>Cultural Awareness</a:t>
          </a:r>
        </a:p>
      </dgm:t>
    </dgm:pt>
    <dgm:pt modelId="{9B6A28FB-E0C7-A744-80AE-37407B4DF2DE}" type="parTrans" cxnId="{D3C2CDDC-1E87-AA4C-BE1E-0C0C8359D56D}">
      <dgm:prSet/>
      <dgm:spPr/>
      <dgm:t>
        <a:bodyPr/>
        <a:lstStyle/>
        <a:p>
          <a:endParaRPr lang="en-US"/>
        </a:p>
      </dgm:t>
    </dgm:pt>
    <dgm:pt modelId="{98000541-C732-7541-AE60-56A44DCA93B4}" type="sibTrans" cxnId="{D3C2CDDC-1E87-AA4C-BE1E-0C0C8359D56D}">
      <dgm:prSet/>
      <dgm:spPr/>
      <dgm:t>
        <a:bodyPr/>
        <a:lstStyle/>
        <a:p>
          <a:endParaRPr lang="en-US"/>
        </a:p>
      </dgm:t>
    </dgm:pt>
    <dgm:pt modelId="{7792665C-61F9-2044-8A58-E126D3261E2F}">
      <dgm:prSet phldrT="[Text]"/>
      <dgm:spPr/>
      <dgm:t>
        <a:bodyPr/>
        <a:lstStyle/>
        <a:p>
          <a:r>
            <a:rPr lang="en-US"/>
            <a:t>Information Sharing</a:t>
          </a:r>
        </a:p>
      </dgm:t>
    </dgm:pt>
    <dgm:pt modelId="{F48EA1B4-C0BC-D940-ABD9-443D4F0D7279}" type="parTrans" cxnId="{5C6E392E-5F70-E241-94BD-846DABC442B8}">
      <dgm:prSet/>
      <dgm:spPr/>
      <dgm:t>
        <a:bodyPr/>
        <a:lstStyle/>
        <a:p>
          <a:endParaRPr lang="en-US"/>
        </a:p>
      </dgm:t>
    </dgm:pt>
    <dgm:pt modelId="{AD11D5BA-3BB0-7846-B419-BCA12BA968D3}" type="sibTrans" cxnId="{5C6E392E-5F70-E241-94BD-846DABC442B8}">
      <dgm:prSet/>
      <dgm:spPr/>
      <dgm:t>
        <a:bodyPr/>
        <a:lstStyle/>
        <a:p>
          <a:endParaRPr lang="en-US"/>
        </a:p>
      </dgm:t>
    </dgm:pt>
    <dgm:pt modelId="{960CEE46-0365-C842-9E00-D099FA72E161}">
      <dgm:prSet phldrT="[Text]"/>
      <dgm:spPr/>
      <dgm:t>
        <a:bodyPr/>
        <a:lstStyle/>
        <a:p>
          <a:r>
            <a:rPr lang="en-US"/>
            <a:t>Participation</a:t>
          </a:r>
        </a:p>
      </dgm:t>
    </dgm:pt>
    <dgm:pt modelId="{9921FD92-89FE-6D47-AFD7-E6FCC7FBDBF2}" type="parTrans" cxnId="{D1F2257B-6FC3-3C43-8F4E-553B2B8595D2}">
      <dgm:prSet/>
      <dgm:spPr/>
      <dgm:t>
        <a:bodyPr/>
        <a:lstStyle/>
        <a:p>
          <a:endParaRPr lang="en-US"/>
        </a:p>
      </dgm:t>
    </dgm:pt>
    <dgm:pt modelId="{9AFB24AC-9EA1-134C-A3AF-C663876D2F86}" type="sibTrans" cxnId="{D1F2257B-6FC3-3C43-8F4E-553B2B8595D2}">
      <dgm:prSet/>
      <dgm:spPr/>
      <dgm:t>
        <a:bodyPr/>
        <a:lstStyle/>
        <a:p>
          <a:endParaRPr lang="en-US"/>
        </a:p>
      </dgm:t>
    </dgm:pt>
    <dgm:pt modelId="{9AE82FF2-8556-D644-941B-28233F5328DB}">
      <dgm:prSet phldrT="[Text]"/>
      <dgm:spPr/>
      <dgm:t>
        <a:bodyPr/>
        <a:lstStyle/>
        <a:p>
          <a:r>
            <a:rPr lang="en-US"/>
            <a:t>Indigenous Knowledge</a:t>
          </a:r>
        </a:p>
      </dgm:t>
    </dgm:pt>
    <dgm:pt modelId="{CDC18D8E-950D-BD49-AEBA-260D1C26E189}" type="parTrans" cxnId="{84E5F35F-05E0-194A-847D-F8BA393C9588}">
      <dgm:prSet/>
      <dgm:spPr/>
      <dgm:t>
        <a:bodyPr/>
        <a:lstStyle/>
        <a:p>
          <a:endParaRPr lang="en-US"/>
        </a:p>
      </dgm:t>
    </dgm:pt>
    <dgm:pt modelId="{63743831-E6F6-4143-9550-8A727336B5DB}" type="sibTrans" cxnId="{84E5F35F-05E0-194A-847D-F8BA393C9588}">
      <dgm:prSet/>
      <dgm:spPr/>
      <dgm:t>
        <a:bodyPr/>
        <a:lstStyle/>
        <a:p>
          <a:endParaRPr lang="en-US"/>
        </a:p>
      </dgm:t>
    </dgm:pt>
    <dgm:pt modelId="{8CFA5B0E-1A9B-4D48-9340-3D3C8B3D7525}" type="pres">
      <dgm:prSet presAssocID="{3159D5F5-5964-B041-8A72-FD8F93E766B1}" presName="cycle" presStyleCnt="0">
        <dgm:presLayoutVars>
          <dgm:dir/>
          <dgm:resizeHandles val="exact"/>
        </dgm:presLayoutVars>
      </dgm:prSet>
      <dgm:spPr/>
      <dgm:t>
        <a:bodyPr/>
        <a:lstStyle/>
        <a:p>
          <a:endParaRPr lang="en-CA"/>
        </a:p>
      </dgm:t>
    </dgm:pt>
    <dgm:pt modelId="{49D9EE96-22DD-064E-AE28-F0FEEEDC07FE}" type="pres">
      <dgm:prSet presAssocID="{F2AE19FE-FAA0-5541-B4D1-3429802F7315}" presName="node" presStyleLbl="node1" presStyleIdx="0" presStyleCnt="5" custRadScaleRad="107843" custRadScaleInc="-6808">
        <dgm:presLayoutVars>
          <dgm:bulletEnabled val="1"/>
        </dgm:presLayoutVars>
      </dgm:prSet>
      <dgm:spPr/>
      <dgm:t>
        <a:bodyPr/>
        <a:lstStyle/>
        <a:p>
          <a:endParaRPr lang="en-CA"/>
        </a:p>
      </dgm:t>
    </dgm:pt>
    <dgm:pt modelId="{56249660-2F1D-CA4F-B1B6-C1DAD7CF5EFE}" type="pres">
      <dgm:prSet presAssocID="{F2AE19FE-FAA0-5541-B4D1-3429802F7315}" presName="spNode" presStyleCnt="0"/>
      <dgm:spPr/>
    </dgm:pt>
    <dgm:pt modelId="{2C50EBF5-38AC-4F45-A0C4-567503625322}" type="pres">
      <dgm:prSet presAssocID="{30E7F1DB-D966-D44B-9E7D-E9AD331B370C}" presName="sibTrans" presStyleLbl="sibTrans1D1" presStyleIdx="0" presStyleCnt="5"/>
      <dgm:spPr/>
      <dgm:t>
        <a:bodyPr/>
        <a:lstStyle/>
        <a:p>
          <a:endParaRPr lang="en-CA"/>
        </a:p>
      </dgm:t>
    </dgm:pt>
    <dgm:pt modelId="{50F51B32-9CA2-EC4A-9B68-B1A09E83DEFF}" type="pres">
      <dgm:prSet presAssocID="{1C7F0BC0-34A1-C441-9592-3D61FD255A28}" presName="node" presStyleLbl="node1" presStyleIdx="1" presStyleCnt="5">
        <dgm:presLayoutVars>
          <dgm:bulletEnabled val="1"/>
        </dgm:presLayoutVars>
      </dgm:prSet>
      <dgm:spPr/>
      <dgm:t>
        <a:bodyPr/>
        <a:lstStyle/>
        <a:p>
          <a:endParaRPr lang="en-CA"/>
        </a:p>
      </dgm:t>
    </dgm:pt>
    <dgm:pt modelId="{04CDAAC8-9503-2A40-99BB-93D0E60E86BC}" type="pres">
      <dgm:prSet presAssocID="{1C7F0BC0-34A1-C441-9592-3D61FD255A28}" presName="spNode" presStyleCnt="0"/>
      <dgm:spPr/>
    </dgm:pt>
    <dgm:pt modelId="{3EAF3352-F38E-8244-9D93-2D87594D9B7C}" type="pres">
      <dgm:prSet presAssocID="{98000541-C732-7541-AE60-56A44DCA93B4}" presName="sibTrans" presStyleLbl="sibTrans1D1" presStyleIdx="1" presStyleCnt="5"/>
      <dgm:spPr/>
      <dgm:t>
        <a:bodyPr/>
        <a:lstStyle/>
        <a:p>
          <a:endParaRPr lang="en-CA"/>
        </a:p>
      </dgm:t>
    </dgm:pt>
    <dgm:pt modelId="{DAF69F6A-38A9-3547-9B6D-F0002891E3FC}" type="pres">
      <dgm:prSet presAssocID="{9AE82FF2-8556-D644-941B-28233F5328DB}" presName="node" presStyleLbl="node1" presStyleIdx="2" presStyleCnt="5">
        <dgm:presLayoutVars>
          <dgm:bulletEnabled val="1"/>
        </dgm:presLayoutVars>
      </dgm:prSet>
      <dgm:spPr/>
      <dgm:t>
        <a:bodyPr/>
        <a:lstStyle/>
        <a:p>
          <a:endParaRPr lang="en-US"/>
        </a:p>
      </dgm:t>
    </dgm:pt>
    <dgm:pt modelId="{A90D0AA9-8037-9146-814C-FBBA717A8EBD}" type="pres">
      <dgm:prSet presAssocID="{9AE82FF2-8556-D644-941B-28233F5328DB}" presName="spNode" presStyleCnt="0"/>
      <dgm:spPr/>
    </dgm:pt>
    <dgm:pt modelId="{E6018569-34A0-3B40-B1B6-93EEC2691FDA}" type="pres">
      <dgm:prSet presAssocID="{63743831-E6F6-4143-9550-8A727336B5DB}" presName="sibTrans" presStyleLbl="sibTrans1D1" presStyleIdx="2" presStyleCnt="5"/>
      <dgm:spPr/>
      <dgm:t>
        <a:bodyPr/>
        <a:lstStyle/>
        <a:p>
          <a:endParaRPr lang="en-CA"/>
        </a:p>
      </dgm:t>
    </dgm:pt>
    <dgm:pt modelId="{C9F0F099-F142-5C41-949D-F4F400C38892}" type="pres">
      <dgm:prSet presAssocID="{7792665C-61F9-2044-8A58-E126D3261E2F}" presName="node" presStyleLbl="node1" presStyleIdx="3" presStyleCnt="5">
        <dgm:presLayoutVars>
          <dgm:bulletEnabled val="1"/>
        </dgm:presLayoutVars>
      </dgm:prSet>
      <dgm:spPr/>
      <dgm:t>
        <a:bodyPr/>
        <a:lstStyle/>
        <a:p>
          <a:endParaRPr lang="en-CA"/>
        </a:p>
      </dgm:t>
    </dgm:pt>
    <dgm:pt modelId="{E28275A9-B2EF-B445-A4DE-CBFC8BC76B04}" type="pres">
      <dgm:prSet presAssocID="{7792665C-61F9-2044-8A58-E126D3261E2F}" presName="spNode" presStyleCnt="0"/>
      <dgm:spPr/>
    </dgm:pt>
    <dgm:pt modelId="{F5EE7FB8-3778-7144-8287-ED323BCF1FBA}" type="pres">
      <dgm:prSet presAssocID="{AD11D5BA-3BB0-7846-B419-BCA12BA968D3}" presName="sibTrans" presStyleLbl="sibTrans1D1" presStyleIdx="3" presStyleCnt="5"/>
      <dgm:spPr/>
      <dgm:t>
        <a:bodyPr/>
        <a:lstStyle/>
        <a:p>
          <a:endParaRPr lang="en-CA"/>
        </a:p>
      </dgm:t>
    </dgm:pt>
    <dgm:pt modelId="{46FDE610-2BE0-8A49-B03E-90BA2F1BAA35}" type="pres">
      <dgm:prSet presAssocID="{960CEE46-0365-C842-9E00-D099FA72E161}" presName="node" presStyleLbl="node1" presStyleIdx="4" presStyleCnt="5">
        <dgm:presLayoutVars>
          <dgm:bulletEnabled val="1"/>
        </dgm:presLayoutVars>
      </dgm:prSet>
      <dgm:spPr/>
      <dgm:t>
        <a:bodyPr/>
        <a:lstStyle/>
        <a:p>
          <a:endParaRPr lang="en-US"/>
        </a:p>
      </dgm:t>
    </dgm:pt>
    <dgm:pt modelId="{17995674-7B62-EC4C-8787-0FE8E4C7E817}" type="pres">
      <dgm:prSet presAssocID="{960CEE46-0365-C842-9E00-D099FA72E161}" presName="spNode" presStyleCnt="0"/>
      <dgm:spPr/>
    </dgm:pt>
    <dgm:pt modelId="{00792B67-1024-3B43-B9B9-834054D688EE}" type="pres">
      <dgm:prSet presAssocID="{9AFB24AC-9EA1-134C-A3AF-C663876D2F86}" presName="sibTrans" presStyleLbl="sibTrans1D1" presStyleIdx="4" presStyleCnt="5"/>
      <dgm:spPr/>
      <dgm:t>
        <a:bodyPr/>
        <a:lstStyle/>
        <a:p>
          <a:endParaRPr lang="en-CA"/>
        </a:p>
      </dgm:t>
    </dgm:pt>
  </dgm:ptLst>
  <dgm:cxnLst>
    <dgm:cxn modelId="{A3EAB7B1-42DF-0444-B8E5-0EBA68978B9C}" type="presOf" srcId="{960CEE46-0365-C842-9E00-D099FA72E161}" destId="{46FDE610-2BE0-8A49-B03E-90BA2F1BAA35}" srcOrd="0" destOrd="0" presId="urn:microsoft.com/office/officeart/2005/8/layout/cycle6"/>
    <dgm:cxn modelId="{CAD724E6-44F7-6346-B411-79EAAE5301B2}" type="presOf" srcId="{1C7F0BC0-34A1-C441-9592-3D61FD255A28}" destId="{50F51B32-9CA2-EC4A-9B68-B1A09E83DEFF}" srcOrd="0" destOrd="0" presId="urn:microsoft.com/office/officeart/2005/8/layout/cycle6"/>
    <dgm:cxn modelId="{5DCBC926-DE75-1E42-AA1E-10B21802997E}" srcId="{3159D5F5-5964-B041-8A72-FD8F93E766B1}" destId="{F2AE19FE-FAA0-5541-B4D1-3429802F7315}" srcOrd="0" destOrd="0" parTransId="{8D1C082C-69D6-DF4E-9E92-D53F7534BCD4}" sibTransId="{30E7F1DB-D966-D44B-9E7D-E9AD331B370C}"/>
    <dgm:cxn modelId="{073E1E04-64FA-BE44-888F-33C5212E8A39}" type="presOf" srcId="{F2AE19FE-FAA0-5541-B4D1-3429802F7315}" destId="{49D9EE96-22DD-064E-AE28-F0FEEEDC07FE}" srcOrd="0" destOrd="0" presId="urn:microsoft.com/office/officeart/2005/8/layout/cycle6"/>
    <dgm:cxn modelId="{F89213CB-9A1F-C044-9B2F-3D214E6AA71C}" type="presOf" srcId="{9AFB24AC-9EA1-134C-A3AF-C663876D2F86}" destId="{00792B67-1024-3B43-B9B9-834054D688EE}" srcOrd="0" destOrd="0" presId="urn:microsoft.com/office/officeart/2005/8/layout/cycle6"/>
    <dgm:cxn modelId="{AF2C31B0-8575-D446-BB71-09761BC87A68}" type="presOf" srcId="{30E7F1DB-D966-D44B-9E7D-E9AD331B370C}" destId="{2C50EBF5-38AC-4F45-A0C4-567503625322}" srcOrd="0" destOrd="0" presId="urn:microsoft.com/office/officeart/2005/8/layout/cycle6"/>
    <dgm:cxn modelId="{D3C2CDDC-1E87-AA4C-BE1E-0C0C8359D56D}" srcId="{3159D5F5-5964-B041-8A72-FD8F93E766B1}" destId="{1C7F0BC0-34A1-C441-9592-3D61FD255A28}" srcOrd="1" destOrd="0" parTransId="{9B6A28FB-E0C7-A744-80AE-37407B4DF2DE}" sibTransId="{98000541-C732-7541-AE60-56A44DCA93B4}"/>
    <dgm:cxn modelId="{FF4BFAC0-D3DD-2A45-865E-7A60DF9DE49B}" type="presOf" srcId="{3159D5F5-5964-B041-8A72-FD8F93E766B1}" destId="{8CFA5B0E-1A9B-4D48-9340-3D3C8B3D7525}" srcOrd="0" destOrd="0" presId="urn:microsoft.com/office/officeart/2005/8/layout/cycle6"/>
    <dgm:cxn modelId="{5C6E392E-5F70-E241-94BD-846DABC442B8}" srcId="{3159D5F5-5964-B041-8A72-FD8F93E766B1}" destId="{7792665C-61F9-2044-8A58-E126D3261E2F}" srcOrd="3" destOrd="0" parTransId="{F48EA1B4-C0BC-D940-ABD9-443D4F0D7279}" sibTransId="{AD11D5BA-3BB0-7846-B419-BCA12BA968D3}"/>
    <dgm:cxn modelId="{7EBB673C-721F-1945-8BB5-3A285BD0793F}" type="presOf" srcId="{98000541-C732-7541-AE60-56A44DCA93B4}" destId="{3EAF3352-F38E-8244-9D93-2D87594D9B7C}" srcOrd="0" destOrd="0" presId="urn:microsoft.com/office/officeart/2005/8/layout/cycle6"/>
    <dgm:cxn modelId="{D22E7477-8A8B-3D47-ACEC-D9A824D514F6}" type="presOf" srcId="{63743831-E6F6-4143-9550-8A727336B5DB}" destId="{E6018569-34A0-3B40-B1B6-93EEC2691FDA}" srcOrd="0" destOrd="0" presId="urn:microsoft.com/office/officeart/2005/8/layout/cycle6"/>
    <dgm:cxn modelId="{84E5F35F-05E0-194A-847D-F8BA393C9588}" srcId="{3159D5F5-5964-B041-8A72-FD8F93E766B1}" destId="{9AE82FF2-8556-D644-941B-28233F5328DB}" srcOrd="2" destOrd="0" parTransId="{CDC18D8E-950D-BD49-AEBA-260D1C26E189}" sibTransId="{63743831-E6F6-4143-9550-8A727336B5DB}"/>
    <dgm:cxn modelId="{864D7959-F2CA-F545-BED3-DEAACE13CED8}" type="presOf" srcId="{7792665C-61F9-2044-8A58-E126D3261E2F}" destId="{C9F0F099-F142-5C41-949D-F4F400C38892}" srcOrd="0" destOrd="0" presId="urn:microsoft.com/office/officeart/2005/8/layout/cycle6"/>
    <dgm:cxn modelId="{115F98B0-F482-4340-ACDB-9EF46200A579}" type="presOf" srcId="{9AE82FF2-8556-D644-941B-28233F5328DB}" destId="{DAF69F6A-38A9-3547-9B6D-F0002891E3FC}" srcOrd="0" destOrd="0" presId="urn:microsoft.com/office/officeart/2005/8/layout/cycle6"/>
    <dgm:cxn modelId="{D1F2257B-6FC3-3C43-8F4E-553B2B8595D2}" srcId="{3159D5F5-5964-B041-8A72-FD8F93E766B1}" destId="{960CEE46-0365-C842-9E00-D099FA72E161}" srcOrd="4" destOrd="0" parTransId="{9921FD92-89FE-6D47-AFD7-E6FCC7FBDBF2}" sibTransId="{9AFB24AC-9EA1-134C-A3AF-C663876D2F86}"/>
    <dgm:cxn modelId="{2ACEC69E-B0C7-D542-8AAF-463C5832936E}" type="presOf" srcId="{AD11D5BA-3BB0-7846-B419-BCA12BA968D3}" destId="{F5EE7FB8-3778-7144-8287-ED323BCF1FBA}" srcOrd="0" destOrd="0" presId="urn:microsoft.com/office/officeart/2005/8/layout/cycle6"/>
    <dgm:cxn modelId="{6D982737-61FF-A546-A1BB-96A4A84C4070}" type="presParOf" srcId="{8CFA5B0E-1A9B-4D48-9340-3D3C8B3D7525}" destId="{49D9EE96-22DD-064E-AE28-F0FEEEDC07FE}" srcOrd="0" destOrd="0" presId="urn:microsoft.com/office/officeart/2005/8/layout/cycle6"/>
    <dgm:cxn modelId="{EC337116-D298-5C47-B85F-F0DCCEF0A25B}" type="presParOf" srcId="{8CFA5B0E-1A9B-4D48-9340-3D3C8B3D7525}" destId="{56249660-2F1D-CA4F-B1B6-C1DAD7CF5EFE}" srcOrd="1" destOrd="0" presId="urn:microsoft.com/office/officeart/2005/8/layout/cycle6"/>
    <dgm:cxn modelId="{40C0E4E4-190C-5845-BCFB-7C107BD4F5C6}" type="presParOf" srcId="{8CFA5B0E-1A9B-4D48-9340-3D3C8B3D7525}" destId="{2C50EBF5-38AC-4F45-A0C4-567503625322}" srcOrd="2" destOrd="0" presId="urn:microsoft.com/office/officeart/2005/8/layout/cycle6"/>
    <dgm:cxn modelId="{2A2547D8-157B-9446-91A8-8ABCC99BD253}" type="presParOf" srcId="{8CFA5B0E-1A9B-4D48-9340-3D3C8B3D7525}" destId="{50F51B32-9CA2-EC4A-9B68-B1A09E83DEFF}" srcOrd="3" destOrd="0" presId="urn:microsoft.com/office/officeart/2005/8/layout/cycle6"/>
    <dgm:cxn modelId="{A0ECACD6-8475-E644-80C7-4BCA026263DD}" type="presParOf" srcId="{8CFA5B0E-1A9B-4D48-9340-3D3C8B3D7525}" destId="{04CDAAC8-9503-2A40-99BB-93D0E60E86BC}" srcOrd="4" destOrd="0" presId="urn:microsoft.com/office/officeart/2005/8/layout/cycle6"/>
    <dgm:cxn modelId="{C7854439-B342-8040-9446-1F17979FD86F}" type="presParOf" srcId="{8CFA5B0E-1A9B-4D48-9340-3D3C8B3D7525}" destId="{3EAF3352-F38E-8244-9D93-2D87594D9B7C}" srcOrd="5" destOrd="0" presId="urn:microsoft.com/office/officeart/2005/8/layout/cycle6"/>
    <dgm:cxn modelId="{749D9667-B71A-E742-A62C-F74C17551060}" type="presParOf" srcId="{8CFA5B0E-1A9B-4D48-9340-3D3C8B3D7525}" destId="{DAF69F6A-38A9-3547-9B6D-F0002891E3FC}" srcOrd="6" destOrd="0" presId="urn:microsoft.com/office/officeart/2005/8/layout/cycle6"/>
    <dgm:cxn modelId="{6E5E621E-0306-A948-9033-D5848B775596}" type="presParOf" srcId="{8CFA5B0E-1A9B-4D48-9340-3D3C8B3D7525}" destId="{A90D0AA9-8037-9146-814C-FBBA717A8EBD}" srcOrd="7" destOrd="0" presId="urn:microsoft.com/office/officeart/2005/8/layout/cycle6"/>
    <dgm:cxn modelId="{D8050771-967C-1644-BF72-CB3232BBE44E}" type="presParOf" srcId="{8CFA5B0E-1A9B-4D48-9340-3D3C8B3D7525}" destId="{E6018569-34A0-3B40-B1B6-93EEC2691FDA}" srcOrd="8" destOrd="0" presId="urn:microsoft.com/office/officeart/2005/8/layout/cycle6"/>
    <dgm:cxn modelId="{2C22724A-EED7-AE4B-BC0B-2A93FDC456F8}" type="presParOf" srcId="{8CFA5B0E-1A9B-4D48-9340-3D3C8B3D7525}" destId="{C9F0F099-F142-5C41-949D-F4F400C38892}" srcOrd="9" destOrd="0" presId="urn:microsoft.com/office/officeart/2005/8/layout/cycle6"/>
    <dgm:cxn modelId="{5BBEEF61-021F-1D41-9F29-B3AC0FF925B1}" type="presParOf" srcId="{8CFA5B0E-1A9B-4D48-9340-3D3C8B3D7525}" destId="{E28275A9-B2EF-B445-A4DE-CBFC8BC76B04}" srcOrd="10" destOrd="0" presId="urn:microsoft.com/office/officeart/2005/8/layout/cycle6"/>
    <dgm:cxn modelId="{4F11D493-616C-494F-9EF8-0D1EFF468E59}" type="presParOf" srcId="{8CFA5B0E-1A9B-4D48-9340-3D3C8B3D7525}" destId="{F5EE7FB8-3778-7144-8287-ED323BCF1FBA}" srcOrd="11" destOrd="0" presId="urn:microsoft.com/office/officeart/2005/8/layout/cycle6"/>
    <dgm:cxn modelId="{C6F00F51-8E11-B248-8AB2-1A6780838C68}" type="presParOf" srcId="{8CFA5B0E-1A9B-4D48-9340-3D3C8B3D7525}" destId="{46FDE610-2BE0-8A49-B03E-90BA2F1BAA35}" srcOrd="12" destOrd="0" presId="urn:microsoft.com/office/officeart/2005/8/layout/cycle6"/>
    <dgm:cxn modelId="{6372C4DA-BB26-4642-9E99-AADF8F99410C}" type="presParOf" srcId="{8CFA5B0E-1A9B-4D48-9340-3D3C8B3D7525}" destId="{17995674-7B62-EC4C-8787-0FE8E4C7E817}" srcOrd="13" destOrd="0" presId="urn:microsoft.com/office/officeart/2005/8/layout/cycle6"/>
    <dgm:cxn modelId="{75657B62-6282-844D-8E45-76AB949EE021}" type="presParOf" srcId="{8CFA5B0E-1A9B-4D48-9340-3D3C8B3D7525}" destId="{00792B67-1024-3B43-B9B9-834054D688EE}" srcOrd="14" destOrd="0" presId="urn:microsoft.com/office/officeart/2005/8/layout/cycle6"/>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9D9EE96-22DD-064E-AE28-F0FEEEDC07FE}">
      <dsp:nvSpPr>
        <dsp:cNvPr id="0" name=""/>
        <dsp:cNvSpPr/>
      </dsp:nvSpPr>
      <dsp:spPr>
        <a:xfrm>
          <a:off x="800100" y="114298"/>
          <a:ext cx="669174" cy="434963"/>
        </a:xfrm>
        <a:prstGeom prst="roundRect">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Collaboration</a:t>
          </a:r>
        </a:p>
      </dsp:txBody>
      <dsp:txXfrm>
        <a:off x="821333" y="135531"/>
        <a:ext cx="626708" cy="392497"/>
      </dsp:txXfrm>
    </dsp:sp>
    <dsp:sp modelId="{2C50EBF5-38AC-4F45-A0C4-567503625322}">
      <dsp:nvSpPr>
        <dsp:cNvPr id="0" name=""/>
        <dsp:cNvSpPr/>
      </dsp:nvSpPr>
      <dsp:spPr>
        <a:xfrm>
          <a:off x="236017" y="303467"/>
          <a:ext cx="1738344" cy="1738344"/>
        </a:xfrm>
        <a:custGeom>
          <a:avLst/>
          <a:gdLst/>
          <a:ahLst/>
          <a:cxnLst/>
          <a:rect l="0" t="0" r="0" b="0"/>
          <a:pathLst>
            <a:path>
              <a:moveTo>
                <a:pt x="1238464" y="82353"/>
              </a:moveTo>
              <a:arcTo wR="869172" hR="869172" stAng="17708578" swAng="2269215"/>
            </a:path>
          </a:pathLst>
        </a:custGeom>
        <a:noFill/>
        <a:ln w="6350" cap="flat" cmpd="sng" algn="ctr">
          <a:solidFill>
            <a:schemeClr val="accent4">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50F51B32-9CA2-EC4A-9B68-B1A09E83DEFF}">
      <dsp:nvSpPr>
        <dsp:cNvPr id="0" name=""/>
        <dsp:cNvSpPr/>
      </dsp:nvSpPr>
      <dsp:spPr>
        <a:xfrm>
          <a:off x="1653459" y="782669"/>
          <a:ext cx="669174" cy="434963"/>
        </a:xfrm>
        <a:prstGeom prst="roundRect">
          <a:avLst/>
        </a:prstGeom>
        <a:gradFill rotWithShape="0">
          <a:gsLst>
            <a:gs pos="0">
              <a:schemeClr val="accent4">
                <a:hueOff val="2598923"/>
                <a:satOff val="-11992"/>
                <a:lumOff val="441"/>
                <a:alphaOff val="0"/>
                <a:lumMod val="110000"/>
                <a:satMod val="105000"/>
                <a:tint val="67000"/>
              </a:schemeClr>
            </a:gs>
            <a:gs pos="50000">
              <a:schemeClr val="accent4">
                <a:hueOff val="2598923"/>
                <a:satOff val="-11992"/>
                <a:lumOff val="441"/>
                <a:alphaOff val="0"/>
                <a:lumMod val="105000"/>
                <a:satMod val="103000"/>
                <a:tint val="73000"/>
              </a:schemeClr>
            </a:gs>
            <a:gs pos="100000">
              <a:schemeClr val="accent4">
                <a:hueOff val="2598923"/>
                <a:satOff val="-11992"/>
                <a:lumOff val="441"/>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Cultural Awareness</a:t>
          </a:r>
        </a:p>
      </dsp:txBody>
      <dsp:txXfrm>
        <a:off x="1674692" y="803902"/>
        <a:ext cx="626708" cy="392497"/>
      </dsp:txXfrm>
    </dsp:sp>
    <dsp:sp modelId="{3EAF3352-F38E-8244-9D93-2D87594D9B7C}">
      <dsp:nvSpPr>
        <dsp:cNvPr id="0" name=""/>
        <dsp:cNvSpPr/>
      </dsp:nvSpPr>
      <dsp:spPr>
        <a:xfrm>
          <a:off x="292242" y="399568"/>
          <a:ext cx="1738344" cy="1738344"/>
        </a:xfrm>
        <a:custGeom>
          <a:avLst/>
          <a:gdLst/>
          <a:ahLst/>
          <a:cxnLst/>
          <a:rect l="0" t="0" r="0" b="0"/>
          <a:pathLst>
            <a:path>
              <a:moveTo>
                <a:pt x="1737149" y="823621"/>
              </a:moveTo>
              <a:arcTo wR="869172" hR="869172" stAng="21419756" swAng="2196602"/>
            </a:path>
          </a:pathLst>
        </a:custGeom>
        <a:noFill/>
        <a:ln w="6350" cap="flat" cmpd="sng" algn="ctr">
          <a:solidFill>
            <a:schemeClr val="accent4">
              <a:hueOff val="2598923"/>
              <a:satOff val="-11992"/>
              <a:lumOff val="441"/>
              <a:alphaOff val="0"/>
            </a:schemeClr>
          </a:solidFill>
          <a:prstDash val="solid"/>
          <a:miter lim="800000"/>
        </a:ln>
        <a:effectLst/>
      </dsp:spPr>
      <dsp:style>
        <a:lnRef idx="1">
          <a:scrgbClr r="0" g="0" b="0"/>
        </a:lnRef>
        <a:fillRef idx="0">
          <a:scrgbClr r="0" g="0" b="0"/>
        </a:fillRef>
        <a:effectRef idx="0">
          <a:scrgbClr r="0" g="0" b="0"/>
        </a:effectRef>
        <a:fontRef idx="minor"/>
      </dsp:style>
    </dsp:sp>
    <dsp:sp modelId="{DAF69F6A-38A9-3547-9B6D-F0002891E3FC}">
      <dsp:nvSpPr>
        <dsp:cNvPr id="0" name=""/>
        <dsp:cNvSpPr/>
      </dsp:nvSpPr>
      <dsp:spPr>
        <a:xfrm>
          <a:off x="1337714" y="1754433"/>
          <a:ext cx="669174" cy="434963"/>
        </a:xfrm>
        <a:prstGeom prst="roundRect">
          <a:avLst/>
        </a:prstGeom>
        <a:gradFill rotWithShape="0">
          <a:gsLst>
            <a:gs pos="0">
              <a:schemeClr val="accent4">
                <a:hueOff val="5197847"/>
                <a:satOff val="-23984"/>
                <a:lumOff val="883"/>
                <a:alphaOff val="0"/>
                <a:lumMod val="110000"/>
                <a:satMod val="105000"/>
                <a:tint val="67000"/>
              </a:schemeClr>
            </a:gs>
            <a:gs pos="50000">
              <a:schemeClr val="accent4">
                <a:hueOff val="5197847"/>
                <a:satOff val="-23984"/>
                <a:lumOff val="883"/>
                <a:alphaOff val="0"/>
                <a:lumMod val="105000"/>
                <a:satMod val="103000"/>
                <a:tint val="73000"/>
              </a:schemeClr>
            </a:gs>
            <a:gs pos="100000">
              <a:schemeClr val="accent4">
                <a:hueOff val="5197847"/>
                <a:satOff val="-23984"/>
                <a:lumOff val="883"/>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Indigenous Knowledge</a:t>
          </a:r>
        </a:p>
      </dsp:txBody>
      <dsp:txXfrm>
        <a:off x="1358947" y="1775666"/>
        <a:ext cx="626708" cy="392497"/>
      </dsp:txXfrm>
    </dsp:sp>
    <dsp:sp modelId="{E6018569-34A0-3B40-B1B6-93EEC2691FDA}">
      <dsp:nvSpPr>
        <dsp:cNvPr id="0" name=""/>
        <dsp:cNvSpPr/>
      </dsp:nvSpPr>
      <dsp:spPr>
        <a:xfrm>
          <a:off x="292242" y="399568"/>
          <a:ext cx="1738344" cy="1738344"/>
        </a:xfrm>
        <a:custGeom>
          <a:avLst/>
          <a:gdLst/>
          <a:ahLst/>
          <a:cxnLst/>
          <a:rect l="0" t="0" r="0" b="0"/>
          <a:pathLst>
            <a:path>
              <a:moveTo>
                <a:pt x="1042017" y="1720984"/>
              </a:moveTo>
              <a:arcTo wR="869172" hR="869172" stAng="4711776" swAng="1376448"/>
            </a:path>
          </a:pathLst>
        </a:custGeom>
        <a:noFill/>
        <a:ln w="6350" cap="flat" cmpd="sng" algn="ctr">
          <a:solidFill>
            <a:schemeClr val="accent4">
              <a:hueOff val="5197847"/>
              <a:satOff val="-23984"/>
              <a:lumOff val="883"/>
              <a:alphaOff val="0"/>
            </a:schemeClr>
          </a:solidFill>
          <a:prstDash val="solid"/>
          <a:miter lim="800000"/>
        </a:ln>
        <a:effectLst/>
      </dsp:spPr>
      <dsp:style>
        <a:lnRef idx="1">
          <a:scrgbClr r="0" g="0" b="0"/>
        </a:lnRef>
        <a:fillRef idx="0">
          <a:scrgbClr r="0" g="0" b="0"/>
        </a:fillRef>
        <a:effectRef idx="0">
          <a:scrgbClr r="0" g="0" b="0"/>
        </a:effectRef>
        <a:fontRef idx="minor"/>
      </dsp:style>
    </dsp:sp>
    <dsp:sp modelId="{C9F0F099-F142-5C41-949D-F4F400C38892}">
      <dsp:nvSpPr>
        <dsp:cNvPr id="0" name=""/>
        <dsp:cNvSpPr/>
      </dsp:nvSpPr>
      <dsp:spPr>
        <a:xfrm>
          <a:off x="315941" y="1754433"/>
          <a:ext cx="669174" cy="434963"/>
        </a:xfrm>
        <a:prstGeom prst="roundRect">
          <a:avLst/>
        </a:prstGeom>
        <a:gradFill rotWithShape="0">
          <a:gsLst>
            <a:gs pos="0">
              <a:schemeClr val="accent4">
                <a:hueOff val="7796770"/>
                <a:satOff val="-35976"/>
                <a:lumOff val="1324"/>
                <a:alphaOff val="0"/>
                <a:lumMod val="110000"/>
                <a:satMod val="105000"/>
                <a:tint val="67000"/>
              </a:schemeClr>
            </a:gs>
            <a:gs pos="50000">
              <a:schemeClr val="accent4">
                <a:hueOff val="7796770"/>
                <a:satOff val="-35976"/>
                <a:lumOff val="1324"/>
                <a:alphaOff val="0"/>
                <a:lumMod val="105000"/>
                <a:satMod val="103000"/>
                <a:tint val="73000"/>
              </a:schemeClr>
            </a:gs>
            <a:gs pos="100000">
              <a:schemeClr val="accent4">
                <a:hueOff val="7796770"/>
                <a:satOff val="-35976"/>
                <a:lumOff val="1324"/>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Information Sharing</a:t>
          </a:r>
        </a:p>
      </dsp:txBody>
      <dsp:txXfrm>
        <a:off x="337174" y="1775666"/>
        <a:ext cx="626708" cy="392497"/>
      </dsp:txXfrm>
    </dsp:sp>
    <dsp:sp modelId="{F5EE7FB8-3778-7144-8287-ED323BCF1FBA}">
      <dsp:nvSpPr>
        <dsp:cNvPr id="0" name=""/>
        <dsp:cNvSpPr/>
      </dsp:nvSpPr>
      <dsp:spPr>
        <a:xfrm>
          <a:off x="292242" y="399568"/>
          <a:ext cx="1738344" cy="1738344"/>
        </a:xfrm>
        <a:custGeom>
          <a:avLst/>
          <a:gdLst/>
          <a:ahLst/>
          <a:cxnLst/>
          <a:rect l="0" t="0" r="0" b="0"/>
          <a:pathLst>
            <a:path>
              <a:moveTo>
                <a:pt x="145270" y="1350240"/>
              </a:moveTo>
              <a:arcTo wR="869172" hR="869172" stAng="8783641" swAng="2196602"/>
            </a:path>
          </a:pathLst>
        </a:custGeom>
        <a:noFill/>
        <a:ln w="6350" cap="flat" cmpd="sng" algn="ctr">
          <a:solidFill>
            <a:schemeClr val="accent4">
              <a:hueOff val="7796770"/>
              <a:satOff val="-35976"/>
              <a:lumOff val="1324"/>
              <a:alphaOff val="0"/>
            </a:schemeClr>
          </a:solidFill>
          <a:prstDash val="solid"/>
          <a:miter lim="800000"/>
        </a:ln>
        <a:effectLst/>
      </dsp:spPr>
      <dsp:style>
        <a:lnRef idx="1">
          <a:scrgbClr r="0" g="0" b="0"/>
        </a:lnRef>
        <a:fillRef idx="0">
          <a:scrgbClr r="0" g="0" b="0"/>
        </a:fillRef>
        <a:effectRef idx="0">
          <a:scrgbClr r="0" g="0" b="0"/>
        </a:effectRef>
        <a:fontRef idx="minor"/>
      </dsp:style>
    </dsp:sp>
    <dsp:sp modelId="{46FDE610-2BE0-8A49-B03E-90BA2F1BAA35}">
      <dsp:nvSpPr>
        <dsp:cNvPr id="0" name=""/>
        <dsp:cNvSpPr/>
      </dsp:nvSpPr>
      <dsp:spPr>
        <a:xfrm>
          <a:off x="195" y="782669"/>
          <a:ext cx="669174" cy="434963"/>
        </a:xfrm>
        <a:prstGeom prst="roundRect">
          <a:avLst/>
        </a:prstGeom>
        <a:gradFill rotWithShape="0">
          <a:gsLst>
            <a:gs pos="0">
              <a:schemeClr val="accent4">
                <a:hueOff val="10395693"/>
                <a:satOff val="-47968"/>
                <a:lumOff val="1765"/>
                <a:alphaOff val="0"/>
                <a:lumMod val="110000"/>
                <a:satMod val="105000"/>
                <a:tint val="67000"/>
              </a:schemeClr>
            </a:gs>
            <a:gs pos="50000">
              <a:schemeClr val="accent4">
                <a:hueOff val="10395693"/>
                <a:satOff val="-47968"/>
                <a:lumOff val="1765"/>
                <a:alphaOff val="0"/>
                <a:lumMod val="105000"/>
                <a:satMod val="103000"/>
                <a:tint val="73000"/>
              </a:schemeClr>
            </a:gs>
            <a:gs pos="100000">
              <a:schemeClr val="accent4">
                <a:hueOff val="10395693"/>
                <a:satOff val="-47968"/>
                <a:lumOff val="1765"/>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Participation</a:t>
          </a:r>
        </a:p>
      </dsp:txBody>
      <dsp:txXfrm>
        <a:off x="21428" y="803902"/>
        <a:ext cx="626708" cy="392497"/>
      </dsp:txXfrm>
    </dsp:sp>
    <dsp:sp modelId="{00792B67-1024-3B43-B9B9-834054D688EE}">
      <dsp:nvSpPr>
        <dsp:cNvPr id="0" name=""/>
        <dsp:cNvSpPr/>
      </dsp:nvSpPr>
      <dsp:spPr>
        <a:xfrm>
          <a:off x="352886" y="294539"/>
          <a:ext cx="1738344" cy="1738344"/>
        </a:xfrm>
        <a:custGeom>
          <a:avLst/>
          <a:gdLst/>
          <a:ahLst/>
          <a:cxnLst/>
          <a:rect l="0" t="0" r="0" b="0"/>
          <a:pathLst>
            <a:path>
              <a:moveTo>
                <a:pt x="90278" y="483444"/>
              </a:moveTo>
              <a:arcTo wR="869172" hR="869172" stAng="12380745" swAng="2056005"/>
            </a:path>
          </a:pathLst>
        </a:custGeom>
        <a:noFill/>
        <a:ln w="6350" cap="flat" cmpd="sng" algn="ctr">
          <a:solidFill>
            <a:schemeClr val="accent4">
              <a:hueOff val="10395693"/>
              <a:satOff val="-47968"/>
              <a:lumOff val="1765"/>
              <a:alphaOff val="0"/>
            </a:schemeClr>
          </a:solidFill>
          <a:prstDash val="solid"/>
          <a:miter lim="800000"/>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MLA.XSL" StyleName="MLA"/>
</file>

<file path=customXml/item2.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E791A18-E1E3-456F-B927-067F3CE17164}">
  <ds:schemaRefs>
    <ds:schemaRef ds:uri="http://schemas.openxmlformats.org/officeDocument/2006/bibliography"/>
  </ds:schemaRefs>
</ds:datastoreItem>
</file>

<file path=customXml/itemProps2.xml><?xml version="1.0" encoding="utf-8"?>
<ds:datastoreItem xmlns:ds="http://schemas.openxmlformats.org/officeDocument/2006/customXml" ds:itemID="{0CE51C32-9198-48BF-ABB5-AF2C11756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18791</Words>
  <Characters>107115</Characters>
  <Application>Microsoft Office Word</Application>
  <DocSecurity>0</DocSecurity>
  <Lines>892</Lines>
  <Paragraphs>251</Paragraphs>
  <ScaleCrop>false</ScaleCrop>
  <HeadingPairs>
    <vt:vector size="2" baseType="variant">
      <vt:variant>
        <vt:lpstr>Title</vt:lpstr>
      </vt:variant>
      <vt:variant>
        <vt:i4>1</vt:i4>
      </vt:variant>
    </vt:vector>
  </HeadingPairs>
  <TitlesOfParts>
    <vt:vector size="1" baseType="lpstr">
      <vt:lpstr/>
    </vt:vector>
  </TitlesOfParts>
  <Company>DOI</Company>
  <LinksUpToDate>false</LinksUpToDate>
  <CharactersWithSpaces>125655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Edmondson</dc:creator>
  <cp:lastModifiedBy>Thurston, Dennis</cp:lastModifiedBy>
  <cp:revision>2</cp:revision>
  <dcterms:created xsi:type="dcterms:W3CDTF">2016-09-02T23:18:00Z</dcterms:created>
  <dcterms:modified xsi:type="dcterms:W3CDTF">2016-09-02T23:18:00Z</dcterms:modified>
</cp:coreProperties>
</file>